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7C1FE0E1" w:rsidR="00A71C98" w:rsidRPr="00C94E89" w:rsidRDefault="002E5516" w:rsidP="00A71C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No. Dokumen</w:t>
            </w:r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392300E2" w14:textId="2BDEFB06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vAlign w:val="center"/>
          </w:tcPr>
          <w:p w14:paraId="1C52FB4C" w14:textId="7FEF4A00" w:rsidR="00460991" w:rsidRPr="00C94E89" w:rsidRDefault="00764C09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PEMBAYARAN </w:t>
            </w:r>
            <w:r w:rsidR="00D742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KONTRABON</w:t>
            </w:r>
            <w:r w:rsidR="001E55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 PENYELESAIANNYA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4CA7C08B" w14:textId="0A32A4A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71C98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vAlign w:val="center"/>
          </w:tcPr>
          <w:p w14:paraId="53F67953" w14:textId="6FFFC730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</w:tr>
      <w:tr w:rsidR="00460991" w:rsidRPr="00A71C98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vAlign w:val="center"/>
          </w:tcPr>
          <w:p w14:paraId="2AD38B2D" w14:textId="686E715C" w:rsidR="00460991" w:rsidRPr="00A71C98" w:rsidRDefault="00460991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108EFB51" w14:textId="48FFA6F4" w:rsidR="00460991" w:rsidRPr="00A71C98" w:rsidRDefault="00764C09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Asst Mgr FIACO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584C0E38" w14:textId="110C0AD4" w:rsidR="00460991" w:rsidRPr="00A71C98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vAlign w:val="center"/>
          </w:tcPr>
          <w:p w14:paraId="78CA523B" w14:textId="4D8C1E48" w:rsidR="00460991" w:rsidRPr="00A71C98" w:rsidRDefault="00A71C98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71C98">
              <w:rPr>
                <w:rFonts w:ascii="Arial" w:hAnsi="Arial" w:cs="Arial"/>
                <w:b/>
                <w:color w:val="auto"/>
                <w:sz w:val="20"/>
                <w:szCs w:val="20"/>
              </w:rPr>
              <w:t>Yaya Sunjaya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04C1A41D" w14:textId="4A3D95E5" w:rsidR="00460991" w:rsidRPr="00A71C98" w:rsidRDefault="00A71C98" w:rsidP="00460991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A71C98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 FIACO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vAlign w:val="center"/>
          </w:tcPr>
          <w:p w14:paraId="13C1979F" w14:textId="271896AB" w:rsidR="00460991" w:rsidRPr="00A71C98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E27340" w14:textId="77777777" w:rsidR="00460991" w:rsidRPr="00A71C98" w:rsidRDefault="00460991" w:rsidP="004609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</w:tcPr>
          <w:p w14:paraId="5ED79343" w14:textId="70CDB979" w:rsidR="00460991" w:rsidRPr="00622DAA" w:rsidRDefault="00460991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0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42024F74" w14:textId="792D2935" w:rsidR="006D1762" w:rsidRDefault="0074351E" w:rsidP="0074351E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Ruang lingkup dari prosedur ini adalah dari mulai </w:t>
      </w:r>
      <w:r w:rsidR="001E55E7">
        <w:rPr>
          <w:rFonts w:ascii="Arial" w:eastAsia="Times New Roman" w:hAnsi="Arial" w:cs="Times New Roman"/>
          <w:bCs/>
          <w:szCs w:val="20"/>
        </w:rPr>
        <w:t>pengajuan kasbon</w:t>
      </w:r>
      <w:r>
        <w:rPr>
          <w:rFonts w:ascii="Arial" w:eastAsia="Times New Roman" w:hAnsi="Arial" w:cs="Times New Roman"/>
          <w:bCs/>
          <w:szCs w:val="20"/>
        </w:rPr>
        <w:t xml:space="preserve"> hingga </w:t>
      </w:r>
      <w:r w:rsidR="001E55E7">
        <w:rPr>
          <w:rFonts w:ascii="Arial" w:eastAsia="Times New Roman" w:hAnsi="Arial" w:cs="Times New Roman"/>
          <w:bCs/>
          <w:szCs w:val="20"/>
        </w:rPr>
        <w:t>penyelesaian kasbon</w:t>
      </w:r>
    </w:p>
    <w:p w14:paraId="47A67116" w14:textId="77777777" w:rsidR="0074351E" w:rsidRPr="0039052D" w:rsidRDefault="0074351E" w:rsidP="0074351E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7AAE5EB8" w14:textId="059F58CA" w:rsidR="00622DAA" w:rsidRDefault="00560FB1" w:rsidP="00622DAA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r>
        <w:rPr>
          <w:rFonts w:ascii="Arial" w:eastAsia="Times New Roman" w:hAnsi="Arial" w:cs="Times New Roman"/>
          <w:snapToGrid w:val="0"/>
          <w:szCs w:val="20"/>
          <w:lang w:val="en-GB"/>
        </w:rPr>
        <w:t xml:space="preserve">Tujuan dari prosedur ini adalah </w:t>
      </w:r>
    </w:p>
    <w:p w14:paraId="11ED0B3E" w14:textId="7C3EB048" w:rsidR="00DB4E88" w:rsidRDefault="00DB4E88" w:rsidP="00DB4E8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r>
        <w:rPr>
          <w:rFonts w:ascii="Arial" w:eastAsia="Times New Roman" w:hAnsi="Arial" w:cs="Times New Roman"/>
          <w:snapToGrid w:val="0"/>
          <w:szCs w:val="20"/>
          <w:lang w:val="en-GB"/>
        </w:rPr>
        <w:t>Memastikan bahwa pembayaran non kontrabon dilakukan sesuai dengan ketentuan</w:t>
      </w:r>
    </w:p>
    <w:p w14:paraId="3EB4147B" w14:textId="2F69DCEE" w:rsidR="00DB4E88" w:rsidRDefault="00DB4E88" w:rsidP="00DB4E8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r>
        <w:rPr>
          <w:rFonts w:ascii="Arial" w:eastAsia="Times New Roman" w:hAnsi="Arial" w:cs="Times New Roman"/>
          <w:snapToGrid w:val="0"/>
          <w:szCs w:val="20"/>
          <w:lang w:val="en-GB"/>
        </w:rPr>
        <w:t xml:space="preserve">Memastikan bahwa seluruh pembayaran non kontrabon terverifikasi </w:t>
      </w:r>
    </w:p>
    <w:p w14:paraId="315933FF" w14:textId="1EBB34E7" w:rsidR="009C7F5C" w:rsidRPr="00DB4E88" w:rsidRDefault="009C7F5C" w:rsidP="00DB4E8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r>
        <w:rPr>
          <w:rFonts w:ascii="Arial" w:eastAsia="Times New Roman" w:hAnsi="Arial" w:cs="Times New Roman"/>
          <w:snapToGrid w:val="0"/>
          <w:szCs w:val="20"/>
          <w:lang w:val="en-GB"/>
        </w:rPr>
        <w:t>Menciptakan tertib administrasi pada proses pembayaran non kontrabon</w:t>
      </w:r>
    </w:p>
    <w:p w14:paraId="55CFDF34" w14:textId="77777777" w:rsidR="00560FB1" w:rsidRPr="00B90F67" w:rsidRDefault="00560FB1" w:rsidP="00560FB1">
      <w:pPr>
        <w:widowControl/>
        <w:autoSpaceDE/>
        <w:autoSpaceDN/>
        <w:spacing w:line="276" w:lineRule="auto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51183F30" w:rsidR="00D104F9" w:rsidRPr="00622DAA" w:rsidRDefault="00B90F67" w:rsidP="00622DA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560F2A44" w14:textId="77777777" w:rsidR="00622DAA" w:rsidRPr="004B7199" w:rsidRDefault="00622DAA" w:rsidP="00622DA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6489586E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56BD1E00" w14:textId="467DA863" w:rsidR="00AD27F9" w:rsidRPr="00252FF9" w:rsidRDefault="00AD27F9" w:rsidP="00252FF9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/>
          <w:szCs w:val="20"/>
        </w:rPr>
      </w:pPr>
    </w:p>
    <w:p w14:paraId="2511AF13" w14:textId="359CAD9D" w:rsidR="00B90F67" w:rsidRPr="00AD27F9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3AFA147E" w14:textId="0FAD6088" w:rsidR="000757E3" w:rsidRPr="000757E3" w:rsidRDefault="00693FE4" w:rsidP="000757E3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F246D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7880CE14" w14:textId="77777777" w:rsidR="00A86C07" w:rsidRDefault="00A86C07" w:rsidP="00764C09">
      <w:pPr>
        <w:widowControl/>
        <w:suppressAutoHyphens/>
        <w:autoSpaceDE/>
        <w:autoSpaceDN/>
        <w:jc w:val="both"/>
        <w:rPr>
          <w:noProof/>
        </w:rPr>
      </w:pPr>
    </w:p>
    <w:p w14:paraId="37991AB8" w14:textId="6163A8A8" w:rsidR="002E0F8B" w:rsidRDefault="007532DA" w:rsidP="002E0F8B">
      <w:pPr>
        <w:widowControl/>
        <w:suppressAutoHyphens/>
        <w:autoSpaceDE/>
        <w:autoSpaceDN/>
        <w:ind w:left="900" w:hanging="1800"/>
        <w:jc w:val="both"/>
      </w:pPr>
      <w:r>
        <w:object w:dxaOrig="15268" w:dyaOrig="8011" w14:anchorId="292AB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05pt;height:285.6pt" o:ole="">
            <v:imagedata r:id="rId11" o:title=""/>
          </v:shape>
          <o:OLEObject Type="Embed" ProgID="Visio.Drawing.11" ShapeID="_x0000_i1025" DrawAspect="Content" ObjectID="_1816147114" r:id="rId12"/>
        </w:object>
      </w:r>
    </w:p>
    <w:p w14:paraId="4956B33C" w14:textId="77777777" w:rsidR="000465A5" w:rsidRDefault="000465A5" w:rsidP="002E0F8B">
      <w:pPr>
        <w:widowControl/>
        <w:suppressAutoHyphens/>
        <w:autoSpaceDE/>
        <w:autoSpaceDN/>
        <w:ind w:left="900" w:hanging="1800"/>
        <w:jc w:val="both"/>
      </w:pPr>
    </w:p>
    <w:p w14:paraId="53660E54" w14:textId="77777777" w:rsidR="000465A5" w:rsidRDefault="000465A5" w:rsidP="002E0F8B">
      <w:pPr>
        <w:widowControl/>
        <w:suppressAutoHyphens/>
        <w:autoSpaceDE/>
        <w:autoSpaceDN/>
        <w:ind w:left="900" w:hanging="1800"/>
        <w:jc w:val="both"/>
        <w:rPr>
          <w:noProof/>
        </w:rPr>
      </w:pPr>
    </w:p>
    <w:p w14:paraId="5258D1C3" w14:textId="7C87635E" w:rsidR="009B336D" w:rsidRDefault="00C81A54" w:rsidP="000465A5">
      <w:pPr>
        <w:pStyle w:val="ListParagraph"/>
        <w:widowControl/>
        <w:autoSpaceDE/>
        <w:autoSpaceDN/>
        <w:spacing w:line="276" w:lineRule="auto"/>
        <w:ind w:left="900" w:hanging="18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15779" w:dyaOrig="6595" w14:anchorId="5CB53EC6">
          <v:shape id="_x0000_i1026" type="#_x0000_t75" style="width:544.4pt;height:227.2pt" o:ole="">
            <v:imagedata r:id="rId13" o:title=""/>
          </v:shape>
          <o:OLEObject Type="Embed" ProgID="Visio.Drawing.11" ShapeID="_x0000_i1026" DrawAspect="Content" ObjectID="_1816147115" r:id="rId14"/>
        </w:object>
      </w:r>
    </w:p>
    <w:p w14:paraId="45424B64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5E31BADA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E8A1C3E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03535FC" w14:textId="77777777" w:rsidR="00E741B7" w:rsidRDefault="00E741B7" w:rsidP="009B336D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11192579" w14:textId="77777777" w:rsidR="00DB5324" w:rsidRPr="00DB5324" w:rsidRDefault="00DB5324" w:rsidP="00DB5324">
      <w:pPr>
        <w:widowControl/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szCs w:val="20"/>
        </w:rPr>
      </w:pPr>
    </w:p>
    <w:p w14:paraId="14934CF0" w14:textId="0474D4EC" w:rsidR="00D2470A" w:rsidRPr="005C50C0" w:rsidRDefault="00A46834" w:rsidP="005C50C0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szCs w:val="20"/>
        </w:rPr>
      </w:pPr>
      <w:r w:rsidRPr="00DB5324">
        <w:br w:type="column"/>
      </w:r>
      <w:r w:rsidRPr="005A1BCD">
        <w:rPr>
          <w:rFonts w:ascii="Arial" w:eastAsia="Times New Roman" w:hAnsi="Arial" w:cs="Times New Roman"/>
          <w:b/>
          <w:bCs/>
          <w:szCs w:val="20"/>
        </w:rPr>
        <w:t>Prosedur Detail (Penjelasan Diagram Proses Secara Lengkap)</w:t>
      </w:r>
    </w:p>
    <w:p w14:paraId="55591B89" w14:textId="63AC5E4E" w:rsidR="00A46834" w:rsidRPr="003B5571" w:rsidRDefault="00A46834" w:rsidP="003B5571">
      <w:pPr>
        <w:widowControl/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Penjelasan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90F67">
              <w:rPr>
                <w:rFonts w:ascii="Arial" w:hAnsi="Arial" w:cs="Arial"/>
                <w:b/>
              </w:rPr>
              <w:t>Indikator Kinerja</w:t>
            </w:r>
          </w:p>
        </w:tc>
      </w:tr>
      <w:tr w:rsidR="00A46834" w:rsidRPr="00B90F67" w14:paraId="32122F8C" w14:textId="77777777" w:rsidTr="00D2470A">
        <w:trPr>
          <w:trHeight w:val="5617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2B5F17" w14:textId="32047002" w:rsidR="006C5755" w:rsidRDefault="007532DA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31"/>
              </w:tabs>
              <w:autoSpaceDE/>
              <w:autoSpaceDN/>
              <w:spacing w:line="276" w:lineRule="auto"/>
              <w:ind w:left="681" w:hanging="63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Mengisi formulir kasbon yang sudah diotorisasi oleh Manager dan melengkapi dokumen pendukung</w:t>
            </w:r>
          </w:p>
          <w:p w14:paraId="528446BB" w14:textId="3F996C09" w:rsidR="00AF7173" w:rsidRDefault="007532DA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31"/>
              </w:tabs>
              <w:autoSpaceDE/>
              <w:autoSpaceDN/>
              <w:spacing w:line="276" w:lineRule="auto"/>
              <w:ind w:left="681" w:hanging="63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Memeriksa formulir kasbon</w:t>
            </w:r>
          </w:p>
          <w:p w14:paraId="30327C6D" w14:textId="3BAF56D1" w:rsidR="003B5571" w:rsidRDefault="003B5571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31"/>
              </w:tabs>
              <w:autoSpaceDE/>
              <w:autoSpaceDN/>
              <w:spacing w:line="276" w:lineRule="auto"/>
              <w:ind w:left="681" w:hanging="63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Apabila lengkap</w:t>
            </w:r>
            <w:r w:rsidR="000465A5">
              <w:rPr>
                <w:rFonts w:ascii="Arial" w:eastAsia="Times New Roman" w:hAnsi="Arial" w:cs="Times New Roman"/>
                <w:szCs w:val="20"/>
              </w:rPr>
              <w:t>, maka lanjut ke proses 7.4, apabila tidak maka Kembali ke proses 7.1,</w:t>
            </w:r>
          </w:p>
          <w:p w14:paraId="79BE4109" w14:textId="1DDFDD1E" w:rsidR="00AF7173" w:rsidRDefault="00AF7173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31"/>
              </w:tabs>
              <w:autoSpaceDE/>
              <w:autoSpaceDN/>
              <w:spacing w:line="276" w:lineRule="auto"/>
              <w:ind w:left="681" w:hanging="63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Verifikasi objek pajak dan p</w:t>
            </w:r>
            <w:r w:rsidRPr="00AF7173">
              <w:rPr>
                <w:rFonts w:ascii="Arial" w:eastAsia="Times New Roman" w:hAnsi="Arial" w:cs="Times New Roman"/>
                <w:szCs w:val="20"/>
              </w:rPr>
              <w:t>engkreditan faktur pajak</w:t>
            </w:r>
          </w:p>
          <w:p w14:paraId="19C78B44" w14:textId="77777777" w:rsidR="00AF7173" w:rsidRDefault="00AF7173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31"/>
              </w:tabs>
              <w:autoSpaceDE/>
              <w:autoSpaceDN/>
              <w:spacing w:line="276" w:lineRule="auto"/>
              <w:ind w:left="681" w:hanging="63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Apabila PPh, maka lanjut ke proses 7.6, apabila non PPh, maka lanjut ke proses 7.7</w:t>
            </w:r>
          </w:p>
          <w:p w14:paraId="57FF21F2" w14:textId="77777777" w:rsidR="00AF7173" w:rsidRDefault="00AF7173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31"/>
              </w:tabs>
              <w:autoSpaceDE/>
              <w:autoSpaceDN/>
              <w:spacing w:line="276" w:lineRule="auto"/>
              <w:ind w:left="681" w:hanging="63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Menghitung PPh</w:t>
            </w:r>
          </w:p>
          <w:p w14:paraId="120579A8" w14:textId="77777777" w:rsidR="00AF7173" w:rsidRDefault="00AF7173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31"/>
              </w:tabs>
              <w:autoSpaceDE/>
              <w:autoSpaceDN/>
              <w:spacing w:line="276" w:lineRule="auto"/>
              <w:ind w:left="681" w:hanging="63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Membuat voucher pembayaran</w:t>
            </w:r>
          </w:p>
          <w:p w14:paraId="7E3B6653" w14:textId="77777777" w:rsidR="00AF7173" w:rsidRDefault="00AF7173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31"/>
              </w:tabs>
              <w:autoSpaceDE/>
              <w:autoSpaceDN/>
              <w:spacing w:line="276" w:lineRule="auto"/>
              <w:ind w:left="681" w:hanging="63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Membuat rencana pembayaran</w:t>
            </w:r>
          </w:p>
          <w:p w14:paraId="1D5C33C8" w14:textId="77777777" w:rsidR="00AF7173" w:rsidRDefault="00AF7173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31"/>
              </w:tabs>
              <w:autoSpaceDE/>
              <w:autoSpaceDN/>
              <w:spacing w:line="276" w:lineRule="auto"/>
              <w:ind w:left="681" w:hanging="63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Menyiapkan dan otorisasi kelengkapan pembayaran (transfer, cek SI)</w:t>
            </w:r>
          </w:p>
          <w:p w14:paraId="663E3A4A" w14:textId="77777777" w:rsidR="00AF7173" w:rsidRDefault="00AF7173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</w:tabs>
              <w:autoSpaceDE/>
              <w:autoSpaceDN/>
              <w:spacing w:line="276" w:lineRule="auto"/>
              <w:ind w:left="501" w:hanging="45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Approval</w:t>
            </w:r>
          </w:p>
          <w:p w14:paraId="03F45676" w14:textId="77777777" w:rsidR="00AF7173" w:rsidRDefault="00AF7173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</w:tabs>
              <w:autoSpaceDE/>
              <w:autoSpaceDN/>
              <w:spacing w:line="276" w:lineRule="auto"/>
              <w:ind w:left="501" w:hanging="45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Melakukan pembayaran</w:t>
            </w:r>
          </w:p>
          <w:p w14:paraId="770E4DA4" w14:textId="59EAFDC6" w:rsidR="00AF7173" w:rsidRPr="000465A5" w:rsidRDefault="00AF7173" w:rsidP="000465A5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</w:tabs>
              <w:autoSpaceDE/>
              <w:autoSpaceDN/>
              <w:spacing w:line="276" w:lineRule="auto"/>
              <w:ind w:left="501" w:hanging="45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Outgoing dengan tCode F-53 dan F-44</w:t>
            </w:r>
          </w:p>
          <w:p w14:paraId="0ADDE76D" w14:textId="77777777" w:rsidR="00AF7173" w:rsidRDefault="00AF7173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</w:tabs>
              <w:autoSpaceDE/>
              <w:autoSpaceDN/>
              <w:spacing w:line="276" w:lineRule="auto"/>
              <w:ind w:left="501" w:hanging="45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Membuat bukti potong PPh pada CORETAX</w:t>
            </w:r>
          </w:p>
          <w:p w14:paraId="346265EA" w14:textId="77777777" w:rsidR="000465A5" w:rsidRDefault="000465A5" w:rsidP="00AF7173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</w:tabs>
              <w:autoSpaceDE/>
              <w:autoSpaceDN/>
              <w:spacing w:line="276" w:lineRule="auto"/>
              <w:ind w:left="501" w:hanging="450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Proses Penyelesaian Kasbon</w:t>
            </w:r>
          </w:p>
          <w:p w14:paraId="295A4F85" w14:textId="77777777" w:rsidR="00BB4E31" w:rsidRDefault="00BB4E31" w:rsidP="00BB4E31">
            <w:pPr>
              <w:pStyle w:val="ListParagraph"/>
              <w:widowControl/>
              <w:numPr>
                <w:ilvl w:val="2"/>
                <w:numId w:val="6"/>
              </w:numPr>
              <w:autoSpaceDE/>
              <w:autoSpaceDN/>
              <w:spacing w:line="276" w:lineRule="auto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Melengkapi dokumen realisasi pembayaran</w:t>
            </w:r>
          </w:p>
          <w:p w14:paraId="50117439" w14:textId="77777777" w:rsidR="00BB4E31" w:rsidRDefault="00BB4E31" w:rsidP="00BB4E31">
            <w:pPr>
              <w:pStyle w:val="ListParagraph"/>
              <w:widowControl/>
              <w:numPr>
                <w:ilvl w:val="2"/>
                <w:numId w:val="6"/>
              </w:numPr>
              <w:autoSpaceDE/>
              <w:autoSpaceDN/>
              <w:spacing w:line="276" w:lineRule="auto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Verifikasi dokumen realisasi pembayaran</w:t>
            </w:r>
          </w:p>
          <w:p w14:paraId="1BFA6E0D" w14:textId="77777777" w:rsidR="00BB4E31" w:rsidRDefault="00C37EC3" w:rsidP="00BB4E31">
            <w:pPr>
              <w:pStyle w:val="ListParagraph"/>
              <w:widowControl/>
              <w:numPr>
                <w:ilvl w:val="2"/>
                <w:numId w:val="6"/>
              </w:numPr>
              <w:autoSpaceDE/>
              <w:autoSpaceDN/>
              <w:spacing w:line="276" w:lineRule="auto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Apabila pembayaran sesuai, maka lanjut ke proses 7.14.6. apabila tidak sesuai, maka lanjut ke proses 7.14.4.</w:t>
            </w:r>
          </w:p>
          <w:p w14:paraId="2F9BD31A" w14:textId="77777777" w:rsidR="00C37EC3" w:rsidRDefault="00C37EC3" w:rsidP="00BB4E31">
            <w:pPr>
              <w:pStyle w:val="ListParagraph"/>
              <w:widowControl/>
              <w:numPr>
                <w:ilvl w:val="2"/>
                <w:numId w:val="6"/>
              </w:numPr>
              <w:autoSpaceDE/>
              <w:autoSpaceDN/>
              <w:spacing w:line="276" w:lineRule="auto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Menerima kelebihan pembayran atau membayar kekurangan</w:t>
            </w:r>
          </w:p>
          <w:p w14:paraId="4D22B589" w14:textId="52E59592" w:rsidR="00C37EC3" w:rsidRDefault="00C37EC3" w:rsidP="00BB4E31">
            <w:pPr>
              <w:pStyle w:val="ListParagraph"/>
              <w:widowControl/>
              <w:numPr>
                <w:ilvl w:val="2"/>
                <w:numId w:val="6"/>
              </w:numPr>
              <w:autoSpaceDE/>
              <w:autoSpaceDN/>
              <w:spacing w:line="276" w:lineRule="auto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Menginput PPn masukan pada SAP dengan tCode FB60</w:t>
            </w:r>
          </w:p>
          <w:p w14:paraId="5DD2DCA8" w14:textId="77777777" w:rsidR="00C37EC3" w:rsidRDefault="00C37EC3" w:rsidP="00BB4E31">
            <w:pPr>
              <w:pStyle w:val="ListParagraph"/>
              <w:widowControl/>
              <w:numPr>
                <w:ilvl w:val="2"/>
                <w:numId w:val="6"/>
              </w:numPr>
              <w:autoSpaceDE/>
              <w:autoSpaceDN/>
              <w:spacing w:line="276" w:lineRule="auto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Melakukan clearing suspend pada SAP pada tCOde F-03</w:t>
            </w:r>
          </w:p>
          <w:p w14:paraId="1F133372" w14:textId="77777777" w:rsidR="00C37EC3" w:rsidRDefault="00C37EC3" w:rsidP="00BB4E31">
            <w:pPr>
              <w:pStyle w:val="ListParagraph"/>
              <w:widowControl/>
              <w:numPr>
                <w:ilvl w:val="2"/>
                <w:numId w:val="6"/>
              </w:numPr>
              <w:autoSpaceDE/>
              <w:autoSpaceDN/>
              <w:spacing w:line="276" w:lineRule="auto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 xml:space="preserve">Filling Dokumen </w:t>
            </w:r>
          </w:p>
          <w:p w14:paraId="3C38FFE2" w14:textId="0DE7C1B0" w:rsidR="00670563" w:rsidRPr="00AF7173" w:rsidRDefault="00670563" w:rsidP="00BB4E31">
            <w:pPr>
              <w:pStyle w:val="ListParagraph"/>
              <w:widowControl/>
              <w:numPr>
                <w:ilvl w:val="2"/>
                <w:numId w:val="6"/>
              </w:numPr>
              <w:autoSpaceDE/>
              <w:autoSpaceDN/>
              <w:spacing w:line="276" w:lineRule="auto"/>
              <w:contextualSpacing/>
              <w:jc w:val="both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szCs w:val="20"/>
              </w:rPr>
              <w:t>Selesai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F61C9D" w14:textId="77777777" w:rsidR="000465A5" w:rsidRDefault="000465A5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E314330" w14:textId="77777777" w:rsidR="000465A5" w:rsidRDefault="000465A5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46E8360" w14:textId="77777777" w:rsidR="000465A5" w:rsidRDefault="000465A5" w:rsidP="000465A5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733FB191" w14:textId="49B48A7A" w:rsidR="006C5755" w:rsidRDefault="00AF7173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Finance</w:t>
            </w:r>
          </w:p>
          <w:p w14:paraId="5EE061B4" w14:textId="77777777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B433E3F" w14:textId="77777777" w:rsidR="000465A5" w:rsidRDefault="000465A5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D8F4E8D" w14:textId="77777777" w:rsidR="00587ADB" w:rsidRDefault="00587ADB" w:rsidP="000465A5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34A4A676" w14:textId="1A987EB4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Tax</w:t>
            </w:r>
          </w:p>
          <w:p w14:paraId="5855D87D" w14:textId="77777777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FC6864" w14:textId="509D27EF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DC33D81" w14:textId="77777777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724F961" w14:textId="77777777" w:rsidR="000465A5" w:rsidRDefault="000465A5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D37DD28" w14:textId="25C9F176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Tax</w:t>
            </w:r>
          </w:p>
          <w:p w14:paraId="0BBFF6E6" w14:textId="1C00C233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Accounting</w:t>
            </w:r>
          </w:p>
          <w:p w14:paraId="40C35CFE" w14:textId="0325B12C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Finance</w:t>
            </w:r>
          </w:p>
          <w:p w14:paraId="2A50EF7D" w14:textId="5594A379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Finance</w:t>
            </w:r>
          </w:p>
          <w:p w14:paraId="1AB0C2A9" w14:textId="77777777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3348B06" w14:textId="77777777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BEB45D1" w14:textId="59780955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BOD</w:t>
            </w:r>
          </w:p>
          <w:p w14:paraId="581FAB09" w14:textId="1AE3EA2C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Finance</w:t>
            </w:r>
          </w:p>
          <w:p w14:paraId="44989DCF" w14:textId="5351ABEF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Accounting</w:t>
            </w:r>
          </w:p>
          <w:p w14:paraId="1B3189FA" w14:textId="7EE1D0B1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Tax</w:t>
            </w:r>
          </w:p>
          <w:p w14:paraId="37559CB1" w14:textId="77777777" w:rsidR="00587ADB" w:rsidRDefault="00587ADB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1467CEB" w14:textId="77777777" w:rsidR="00587ADB" w:rsidRDefault="007A4725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Finance</w:t>
            </w:r>
          </w:p>
          <w:p w14:paraId="105E1F78" w14:textId="77777777" w:rsidR="007A4725" w:rsidRDefault="007A4725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96FC81" w14:textId="77777777" w:rsidR="007A4725" w:rsidRDefault="007A4725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Finance</w:t>
            </w:r>
          </w:p>
          <w:p w14:paraId="72A41258" w14:textId="77777777" w:rsidR="007A4725" w:rsidRDefault="007A4725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47D6DA6" w14:textId="77777777" w:rsidR="007A4725" w:rsidRDefault="007A4725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7FCBA15" w14:textId="77777777" w:rsidR="007A4725" w:rsidRDefault="007A4725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0F89539" w14:textId="77777777" w:rsidR="007A4725" w:rsidRDefault="007A4725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1C50ADA" w14:textId="77777777" w:rsidR="007A4725" w:rsidRDefault="007A4725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EBCD251" w14:textId="77777777" w:rsidR="007A4725" w:rsidRDefault="007A4725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5A6CC87" w14:textId="1D3441A0" w:rsidR="007A4725" w:rsidRDefault="007A4725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Finance</w:t>
            </w:r>
          </w:p>
          <w:p w14:paraId="6CFD2706" w14:textId="77777777" w:rsidR="007A4725" w:rsidRDefault="007A4725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067B386" w14:textId="73EF393F" w:rsidR="007A4725" w:rsidRDefault="007A4725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Accounting</w:t>
            </w:r>
          </w:p>
          <w:p w14:paraId="6E037ED9" w14:textId="77777777" w:rsidR="007A4725" w:rsidRDefault="007A4725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F4AF5C9" w14:textId="77777777" w:rsidR="007A4725" w:rsidRDefault="007A4725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AE8860A" w14:textId="53B96261" w:rsidR="007A4725" w:rsidRDefault="007A4725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Accounting</w:t>
            </w:r>
          </w:p>
          <w:p w14:paraId="3F403B8C" w14:textId="77777777" w:rsidR="007A4725" w:rsidRDefault="007A4725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28B28B2" w14:textId="7FA4F686" w:rsidR="007A4725" w:rsidRDefault="007A4725" w:rsidP="007A472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Accounting</w:t>
            </w:r>
          </w:p>
          <w:p w14:paraId="53ED044B" w14:textId="77777777" w:rsidR="007A4725" w:rsidRDefault="007A4725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3E382B66" w:rsidR="007A4725" w:rsidRPr="00B90F67" w:rsidRDefault="007A4725" w:rsidP="00AF717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4022A01" w14:textId="2DAE6D0D" w:rsidR="00A46834" w:rsidRPr="00B90F67" w:rsidRDefault="00A4683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 w:rsidP="00D2470A">
      <w:pPr>
        <w:pStyle w:val="Heading1"/>
        <w:ind w:left="0"/>
      </w:pPr>
    </w:p>
    <w:p w14:paraId="664CD309" w14:textId="77777777" w:rsidR="00D2470A" w:rsidRDefault="00D2470A" w:rsidP="00D2470A">
      <w:pPr>
        <w:pStyle w:val="Heading1"/>
        <w:ind w:left="0"/>
      </w:pPr>
    </w:p>
    <w:p w14:paraId="062B6493" w14:textId="77777777" w:rsidR="00D2470A" w:rsidRDefault="00D2470A" w:rsidP="00D2470A">
      <w:pPr>
        <w:pStyle w:val="Heading1"/>
        <w:ind w:left="0"/>
      </w:pPr>
    </w:p>
    <w:p w14:paraId="6E3562F9" w14:textId="77777777" w:rsidR="008F2F38" w:rsidRDefault="008F2F38" w:rsidP="008F2F38">
      <w:pPr>
        <w:widowControl/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77D6450D" w14:textId="43960B1E" w:rsidR="006477E2" w:rsidRDefault="001A0CF0" w:rsidP="008F2F38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</w:pPr>
      <w:r w:rsidRPr="008F2F38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420123D5" w14:textId="77777777" w:rsidR="004A024A" w:rsidRPr="006477E2" w:rsidRDefault="004A024A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</w:p>
    <w:p w14:paraId="5E9C2502" w14:textId="718F49F5" w:rsidR="006477E2" w:rsidRDefault="001A0CF0" w:rsidP="008F2F38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29039A18" w14:textId="77777777" w:rsidR="004A024A" w:rsidRPr="001A0CF0" w:rsidRDefault="004A024A" w:rsidP="008F2F38">
      <w:pPr>
        <w:pStyle w:val="ListParagraph"/>
        <w:widowControl/>
        <w:autoSpaceDE/>
        <w:autoSpaceDN/>
        <w:spacing w:line="276" w:lineRule="auto"/>
        <w:ind w:left="34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Pr="008F2F38" w:rsidRDefault="001A0CF0" w:rsidP="008F2F38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8F2F38">
        <w:rPr>
          <w:rFonts w:ascii="Arial" w:eastAsia="Times New Roman" w:hAnsi="Arial" w:cs="Times New Roman"/>
          <w:b/>
          <w:bCs/>
          <w:szCs w:val="20"/>
        </w:rPr>
        <w:t>LAMPIRAN</w:t>
      </w:r>
    </w:p>
    <w:p w14:paraId="301B7945" w14:textId="77777777" w:rsidR="004A024A" w:rsidRPr="008F2F38" w:rsidRDefault="004A024A" w:rsidP="008F2F38">
      <w:pPr>
        <w:pStyle w:val="ListParagraph"/>
        <w:widowControl/>
        <w:autoSpaceDE/>
        <w:autoSpaceDN/>
        <w:spacing w:line="276" w:lineRule="auto"/>
        <w:ind w:left="34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D8731F9" w14:textId="48996E77" w:rsidR="0084160A" w:rsidRPr="000124CA" w:rsidRDefault="001A0CF0" w:rsidP="008F2F38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b/>
          <w:bCs/>
        </w:rPr>
      </w:pPr>
      <w:r w:rsidRPr="008F2F38">
        <w:rPr>
          <w:rFonts w:ascii="Arial" w:eastAsia="Times New Roman" w:hAnsi="Arial" w:cs="Times New Roman"/>
          <w:b/>
          <w:bCs/>
          <w:szCs w:val="20"/>
        </w:rPr>
        <w:t>REFERENSI</w:t>
      </w:r>
    </w:p>
    <w:p w14:paraId="08700939" w14:textId="5BCC697F" w:rsidR="004A024A" w:rsidRDefault="004A024A" w:rsidP="00D2470A">
      <w:pPr>
        <w:widowControl/>
        <w:numPr>
          <w:ilvl w:val="1"/>
          <w:numId w:val="22"/>
        </w:numPr>
        <w:suppressAutoHyphens/>
        <w:autoSpaceDE/>
        <w:autoSpaceDN/>
        <w:ind w:left="990" w:hanging="630"/>
      </w:pPr>
    </w:p>
    <w:sectPr w:rsidR="004A024A" w:rsidSect="00C94E89">
      <w:headerReference w:type="default" r:id="rId15"/>
      <w:footerReference w:type="default" r:id="rId16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CEAE7" w14:textId="77777777" w:rsidR="00CB23BF" w:rsidRDefault="00CB23BF">
      <w:r>
        <w:separator/>
      </w:r>
    </w:p>
  </w:endnote>
  <w:endnote w:type="continuationSeparator" w:id="0">
    <w:p w14:paraId="0FAF9AF6" w14:textId="77777777" w:rsidR="00CB23BF" w:rsidRDefault="00CB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>PT Chitose Internasional 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 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4F592" w14:textId="77777777" w:rsidR="00CB23BF" w:rsidRDefault="00CB23BF">
      <w:r>
        <w:separator/>
      </w:r>
    </w:p>
  </w:footnote>
  <w:footnote w:type="continuationSeparator" w:id="0">
    <w:p w14:paraId="11BDCF6F" w14:textId="77777777" w:rsidR="00CB23BF" w:rsidRDefault="00CB2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901"/>
                            <w:gridCol w:w="1800"/>
                            <w:gridCol w:w="1440"/>
                          </w:tblGrid>
                          <w:tr w:rsidR="00C94E89" w14:paraId="431E7B90" w14:textId="4141300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935D5BF" w14:textId="77777777" w:rsidR="00252FF9" w:rsidRDefault="002E5516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</w:t>
                                </w:r>
                              </w:p>
                              <w:p w14:paraId="070AC46F" w14:textId="1480EF80" w:rsidR="00F246D9" w:rsidRPr="001A619F" w:rsidRDefault="00764C09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 xml:space="preserve">PEMBAYARAN </w:t>
                                </w:r>
                                <w:r w:rsidR="00D74287"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 xml:space="preserve">NON </w:t>
                                </w: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KONTRABON</w:t>
                                </w:r>
                                <w:r w:rsidR="001E55E7"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 xml:space="preserve"> DAN PENYELESAIANNYA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C94E89" w14:paraId="3EC18E14" w14:textId="4009D786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58E11A8E" w:rsidR="00252FF9" w:rsidRPr="00C94E89" w:rsidRDefault="00C561F1" w:rsidP="00252FF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Asst Mgr </w:t>
                                </w:r>
                                <w:r w:rsidR="00C15A03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FIACO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176966AD" w:rsidR="00C94E89" w:rsidRPr="00C94E89" w:rsidRDefault="000203E5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50A8B0B" w14:textId="50EDD47A" w:rsidR="00C94E89" w:rsidRPr="00C94E89" w:rsidRDefault="000203E5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 FIACO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549DF609" w14:textId="6FF835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36E9BBA6" w14:textId="4AF4A69D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A4AE413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B39BD94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FBEF13E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20064967" w14:textId="2FD0DE7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901"/>
                      <w:gridCol w:w="1800"/>
                      <w:gridCol w:w="1440"/>
                    </w:tblGrid>
                    <w:tr w:rsidR="00C94E89" w14:paraId="431E7B90" w14:textId="4141300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935D5BF" w14:textId="77777777" w:rsidR="00252FF9" w:rsidRDefault="002E5516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</w:t>
                          </w:r>
                        </w:p>
                        <w:p w14:paraId="070AC46F" w14:textId="1480EF80" w:rsidR="00F246D9" w:rsidRPr="001A619F" w:rsidRDefault="00764C09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 xml:space="preserve">PEMBAYARAN </w:t>
                          </w:r>
                          <w:r w:rsidR="00D74287">
                            <w:rPr>
                              <w:b/>
                              <w:sz w:val="18"/>
                              <w:szCs w:val="20"/>
                            </w:rPr>
                            <w:t xml:space="preserve">NON </w:t>
                          </w:r>
                          <w:r>
                            <w:rPr>
                              <w:b/>
                              <w:sz w:val="18"/>
                              <w:szCs w:val="20"/>
                            </w:rPr>
                            <w:t>KONTRABON</w:t>
                          </w:r>
                          <w:r w:rsidR="001E55E7">
                            <w:rPr>
                              <w:b/>
                              <w:sz w:val="18"/>
                              <w:szCs w:val="20"/>
                            </w:rPr>
                            <w:t xml:space="preserve"> DAN PENYELESAIANNYA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C94E89" w14:paraId="3EC18E14" w14:textId="4009D786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58E11A8E" w:rsidR="00252FF9" w:rsidRPr="00C94E89" w:rsidRDefault="00C561F1" w:rsidP="00252FF9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Asst Mgr </w:t>
                          </w:r>
                          <w:r w:rsidR="00C15A03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FIACO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176966AD" w:rsidR="00C94E89" w:rsidRPr="00C94E89" w:rsidRDefault="000203E5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N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50A8B0B" w14:textId="50EDD47A" w:rsidR="00C94E89" w:rsidRPr="00C94E89" w:rsidRDefault="000203E5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 FIACO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549DF609" w14:textId="6FF835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36E9BBA6" w14:textId="4AF4A69D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A4AE413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B39BD94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FBEF13E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20064967" w14:textId="2FD0DE7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4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8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9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0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A9B1756"/>
    <w:multiLevelType w:val="hybridMultilevel"/>
    <w:tmpl w:val="CFBAA88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3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5" w15:restartNumberingAfterBreak="0">
    <w:nsid w:val="48C57DBA"/>
    <w:multiLevelType w:val="hybridMultilevel"/>
    <w:tmpl w:val="CFBAA88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B0F7E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7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0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2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1412048670">
    <w:abstractNumId w:val="8"/>
  </w:num>
  <w:num w:numId="2" w16cid:durableId="559100715">
    <w:abstractNumId w:val="18"/>
  </w:num>
  <w:num w:numId="3" w16cid:durableId="175576873">
    <w:abstractNumId w:val="7"/>
  </w:num>
  <w:num w:numId="4" w16cid:durableId="1081683183">
    <w:abstractNumId w:val="21"/>
  </w:num>
  <w:num w:numId="5" w16cid:durableId="390274931">
    <w:abstractNumId w:val="14"/>
  </w:num>
  <w:num w:numId="6" w16cid:durableId="1888301646">
    <w:abstractNumId w:val="12"/>
  </w:num>
  <w:num w:numId="7" w16cid:durableId="1020662204">
    <w:abstractNumId w:val="17"/>
  </w:num>
  <w:num w:numId="8" w16cid:durableId="1060052164">
    <w:abstractNumId w:val="10"/>
  </w:num>
  <w:num w:numId="9" w16cid:durableId="402292720">
    <w:abstractNumId w:val="13"/>
  </w:num>
  <w:num w:numId="10" w16cid:durableId="2108766211">
    <w:abstractNumId w:val="4"/>
  </w:num>
  <w:num w:numId="11" w16cid:durableId="1503936087">
    <w:abstractNumId w:val="19"/>
  </w:num>
  <w:num w:numId="12" w16cid:durableId="2013677306">
    <w:abstractNumId w:val="5"/>
  </w:num>
  <w:num w:numId="13" w16cid:durableId="2006743179">
    <w:abstractNumId w:val="2"/>
  </w:num>
  <w:num w:numId="14" w16cid:durableId="2087220052">
    <w:abstractNumId w:val="0"/>
  </w:num>
  <w:num w:numId="15" w16cid:durableId="189493643">
    <w:abstractNumId w:val="22"/>
  </w:num>
  <w:num w:numId="16" w16cid:durableId="421995220">
    <w:abstractNumId w:val="6"/>
  </w:num>
  <w:num w:numId="17" w16cid:durableId="778986211">
    <w:abstractNumId w:val="20"/>
  </w:num>
  <w:num w:numId="18" w16cid:durableId="1868790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5069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9388994">
    <w:abstractNumId w:val="9"/>
  </w:num>
  <w:num w:numId="21" w16cid:durableId="1921867951">
    <w:abstractNumId w:val="15"/>
  </w:num>
  <w:num w:numId="22" w16cid:durableId="2028208735">
    <w:abstractNumId w:val="16"/>
  </w:num>
  <w:num w:numId="23" w16cid:durableId="19626079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124CA"/>
    <w:rsid w:val="000203E5"/>
    <w:rsid w:val="00025B3A"/>
    <w:rsid w:val="0004512E"/>
    <w:rsid w:val="000465A5"/>
    <w:rsid w:val="000757E3"/>
    <w:rsid w:val="00111626"/>
    <w:rsid w:val="001632ED"/>
    <w:rsid w:val="00171448"/>
    <w:rsid w:val="00171E99"/>
    <w:rsid w:val="001A0CF0"/>
    <w:rsid w:val="001A619F"/>
    <w:rsid w:val="001C7065"/>
    <w:rsid w:val="001E55E7"/>
    <w:rsid w:val="00205495"/>
    <w:rsid w:val="00211946"/>
    <w:rsid w:val="00226259"/>
    <w:rsid w:val="002514E0"/>
    <w:rsid w:val="00252D9D"/>
    <w:rsid w:val="00252FF9"/>
    <w:rsid w:val="00253166"/>
    <w:rsid w:val="00264BB5"/>
    <w:rsid w:val="002A7C25"/>
    <w:rsid w:val="002E0F8B"/>
    <w:rsid w:val="002E5516"/>
    <w:rsid w:val="00323B41"/>
    <w:rsid w:val="00351DBA"/>
    <w:rsid w:val="0039052D"/>
    <w:rsid w:val="00390F15"/>
    <w:rsid w:val="003969EF"/>
    <w:rsid w:val="0039726D"/>
    <w:rsid w:val="003B0612"/>
    <w:rsid w:val="003B5571"/>
    <w:rsid w:val="003C2607"/>
    <w:rsid w:val="003F425A"/>
    <w:rsid w:val="003F61DF"/>
    <w:rsid w:val="004110F6"/>
    <w:rsid w:val="00460991"/>
    <w:rsid w:val="00475F4D"/>
    <w:rsid w:val="00476085"/>
    <w:rsid w:val="004A024A"/>
    <w:rsid w:val="004A250F"/>
    <w:rsid w:val="004B7199"/>
    <w:rsid w:val="00536A32"/>
    <w:rsid w:val="00560FB1"/>
    <w:rsid w:val="00587ADB"/>
    <w:rsid w:val="005A1BCD"/>
    <w:rsid w:val="005C50C0"/>
    <w:rsid w:val="00621B59"/>
    <w:rsid w:val="00622DAA"/>
    <w:rsid w:val="006477E2"/>
    <w:rsid w:val="00670563"/>
    <w:rsid w:val="00691235"/>
    <w:rsid w:val="00693FE4"/>
    <w:rsid w:val="006C5755"/>
    <w:rsid w:val="006D1762"/>
    <w:rsid w:val="006E5030"/>
    <w:rsid w:val="0074351E"/>
    <w:rsid w:val="007532DA"/>
    <w:rsid w:val="00764C09"/>
    <w:rsid w:val="007A4725"/>
    <w:rsid w:val="007A4B27"/>
    <w:rsid w:val="007E34CE"/>
    <w:rsid w:val="008115E3"/>
    <w:rsid w:val="0084160A"/>
    <w:rsid w:val="0084353D"/>
    <w:rsid w:val="008473E6"/>
    <w:rsid w:val="008919AF"/>
    <w:rsid w:val="00894FFB"/>
    <w:rsid w:val="008C2875"/>
    <w:rsid w:val="008F2F38"/>
    <w:rsid w:val="00905692"/>
    <w:rsid w:val="00906963"/>
    <w:rsid w:val="0093621B"/>
    <w:rsid w:val="00981CA9"/>
    <w:rsid w:val="009B336D"/>
    <w:rsid w:val="009B7236"/>
    <w:rsid w:val="009C251D"/>
    <w:rsid w:val="009C7F5C"/>
    <w:rsid w:val="009E1201"/>
    <w:rsid w:val="009F6831"/>
    <w:rsid w:val="00A133C3"/>
    <w:rsid w:val="00A1639A"/>
    <w:rsid w:val="00A32B7C"/>
    <w:rsid w:val="00A4481A"/>
    <w:rsid w:val="00A46834"/>
    <w:rsid w:val="00A71C98"/>
    <w:rsid w:val="00A76807"/>
    <w:rsid w:val="00A80C3D"/>
    <w:rsid w:val="00A86C07"/>
    <w:rsid w:val="00AA24C3"/>
    <w:rsid w:val="00AC6CC8"/>
    <w:rsid w:val="00AD27F9"/>
    <w:rsid w:val="00AF5720"/>
    <w:rsid w:val="00AF7173"/>
    <w:rsid w:val="00B76FFC"/>
    <w:rsid w:val="00B90F67"/>
    <w:rsid w:val="00B9168B"/>
    <w:rsid w:val="00BB4E31"/>
    <w:rsid w:val="00BD5C67"/>
    <w:rsid w:val="00C00BB4"/>
    <w:rsid w:val="00C1252E"/>
    <w:rsid w:val="00C15A03"/>
    <w:rsid w:val="00C332BB"/>
    <w:rsid w:val="00C3388B"/>
    <w:rsid w:val="00C37EC3"/>
    <w:rsid w:val="00C46D67"/>
    <w:rsid w:val="00C561F1"/>
    <w:rsid w:val="00C73CA5"/>
    <w:rsid w:val="00C81A54"/>
    <w:rsid w:val="00C94E89"/>
    <w:rsid w:val="00CA4D4F"/>
    <w:rsid w:val="00CB23BF"/>
    <w:rsid w:val="00CC154A"/>
    <w:rsid w:val="00CF2541"/>
    <w:rsid w:val="00D104F9"/>
    <w:rsid w:val="00D2470A"/>
    <w:rsid w:val="00D32316"/>
    <w:rsid w:val="00D62D04"/>
    <w:rsid w:val="00D74287"/>
    <w:rsid w:val="00D85894"/>
    <w:rsid w:val="00DB4E88"/>
    <w:rsid w:val="00DB5324"/>
    <w:rsid w:val="00DC290F"/>
    <w:rsid w:val="00E73297"/>
    <w:rsid w:val="00E741B7"/>
    <w:rsid w:val="00E86F3F"/>
    <w:rsid w:val="00E94EB1"/>
    <w:rsid w:val="00EA72AA"/>
    <w:rsid w:val="00EA790F"/>
    <w:rsid w:val="00EC5ECF"/>
    <w:rsid w:val="00EE371A"/>
    <w:rsid w:val="00F010FF"/>
    <w:rsid w:val="00F04319"/>
    <w:rsid w:val="00F246D9"/>
    <w:rsid w:val="00F70300"/>
    <w:rsid w:val="00F81767"/>
    <w:rsid w:val="00F924E5"/>
    <w:rsid w:val="00FA27E7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portal.chitose-indone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17</cp:revision>
  <dcterms:created xsi:type="dcterms:W3CDTF">2025-04-18T14:50:00Z</dcterms:created>
  <dcterms:modified xsi:type="dcterms:W3CDTF">2025-08-08T01:32:00Z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