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7C1FE0E1" w:rsidR="00A71C98" w:rsidRPr="00C94E89" w:rsidRDefault="002E5516" w:rsidP="00A71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2BDEFB06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09E6BEF9" w:rsidR="00460991" w:rsidRPr="00C94E89" w:rsidRDefault="00A71C98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PENETAPAN</w:t>
            </w:r>
            <w:r w:rsidR="009B3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MONITORING</w:t>
            </w:r>
            <w:r w:rsidR="009B3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&amp; EVALUASI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0A32A4A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71C98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6FFFC73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A71C98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686E715C" w:rsidR="00460991" w:rsidRPr="00A71C98" w:rsidRDefault="00460991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76EC75C1" w:rsidR="00460991" w:rsidRPr="00A71C98" w:rsidRDefault="00460991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A71C9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4D8C1E48" w:rsidR="00460991" w:rsidRPr="00A71C98" w:rsidRDefault="00A71C98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71C98">
              <w:rPr>
                <w:rFonts w:ascii="Arial" w:hAnsi="Arial" w:cs="Arial"/>
                <w:b/>
                <w:color w:val="auto"/>
                <w:sz w:val="20"/>
                <w:szCs w:val="20"/>
              </w:rPr>
              <w:t>Yaya Sunjaya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4A3D95E5" w:rsidR="00460991" w:rsidRPr="00A71C98" w:rsidRDefault="00A71C98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A71C9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 FIACO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A71C9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77777777" w:rsidR="00460991" w:rsidRPr="00A71C98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4FBC79C4" w:rsidR="006D1762" w:rsidRDefault="0074351E" w:rsidP="0074351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Ruang lingkup dari prosedur ini adalah dari mulai proses penetapan, monitoring, hingga evaluasi budget.</w:t>
      </w:r>
    </w:p>
    <w:p w14:paraId="47A67116" w14:textId="77777777" w:rsidR="0074351E" w:rsidRPr="0039052D" w:rsidRDefault="0074351E" w:rsidP="0074351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7F5E5E7F" w:rsidR="00622DAA" w:rsidRDefault="00560FB1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Tujuan dari prosedur ini adalah sebagai acuan dari </w:t>
      </w:r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>pelaksanaan</w:t>
      </w:r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penetapan budget, monitoring budget, hingga evaluasi budget</w:t>
      </w:r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 xml:space="preserve"> sehingga terjadinya tertib administrasi.</w:t>
      </w:r>
    </w:p>
    <w:p w14:paraId="55CFDF34" w14:textId="77777777" w:rsidR="00560FB1" w:rsidRPr="00B90F67" w:rsidRDefault="00560FB1" w:rsidP="00560FB1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18B7A68F" w14:textId="6F420CAD" w:rsidR="00EC5C98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Budget</w:t>
      </w:r>
    </w:p>
    <w:p w14:paraId="0667CFDF" w14:textId="39409B73" w:rsidR="00EC5C98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Budget Penjualan</w:t>
      </w:r>
    </w:p>
    <w:p w14:paraId="4D2476FE" w14:textId="50CDE8C6" w:rsidR="00EC5C98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Factory Overhead (FOH)</w:t>
      </w:r>
    </w:p>
    <w:p w14:paraId="04589A40" w14:textId="33490E59" w:rsidR="00EC5C98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Direct Labor</w:t>
      </w:r>
    </w:p>
    <w:p w14:paraId="7CE47218" w14:textId="4EE191BA" w:rsidR="00EC5C98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Direct Material</w:t>
      </w:r>
    </w:p>
    <w:p w14:paraId="2DEC94A2" w14:textId="5270A692" w:rsidR="00EC5C98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Subkontraktor</w:t>
      </w:r>
    </w:p>
    <w:p w14:paraId="5E6B25C5" w14:textId="2C1B5018" w:rsidR="00EC5C98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Selling Expenses</w:t>
      </w:r>
    </w:p>
    <w:p w14:paraId="5D1EF2E5" w14:textId="0C9294DE" w:rsidR="00EC5C98" w:rsidRPr="00622DAA" w:rsidRDefault="00EC5C98" w:rsidP="00EC5C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GA Expenses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E50FBEB" w14:textId="431C46BD" w:rsidR="00EC5C98" w:rsidRPr="00EC5C98" w:rsidRDefault="00EC5C98" w:rsidP="00EC5C98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Budget dibuat satu tahun sekali di akhir tahun untuk tahun berikutnya.</w:t>
      </w:r>
    </w:p>
    <w:p w14:paraId="585919AC" w14:textId="7E89FB42" w:rsidR="0036720E" w:rsidRDefault="00EC5C98" w:rsidP="0036720E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Budget mencakup Budget Penjualan, </w:t>
      </w:r>
      <w:r w:rsidR="0036720E">
        <w:rPr>
          <w:rFonts w:ascii="Arial" w:eastAsia="Times New Roman" w:hAnsi="Arial" w:cs="Times New Roman"/>
          <w:bCs/>
          <w:szCs w:val="20"/>
        </w:rPr>
        <w:t>Direct Material</w:t>
      </w:r>
      <w:r w:rsidR="0036720E">
        <w:rPr>
          <w:rFonts w:ascii="Arial" w:eastAsia="Times New Roman" w:hAnsi="Arial" w:cs="Times New Roman"/>
          <w:bCs/>
          <w:szCs w:val="20"/>
        </w:rPr>
        <w:t xml:space="preserve">, </w:t>
      </w:r>
      <w:r>
        <w:rPr>
          <w:rFonts w:ascii="Arial" w:eastAsia="Times New Roman" w:hAnsi="Arial" w:cs="Times New Roman"/>
          <w:bCs/>
          <w:szCs w:val="20"/>
        </w:rPr>
        <w:t>Factory Overhead (FOH), Direct Labor (DL), Subkontraktor, Selling Expenses, GA Expenses</w:t>
      </w:r>
    </w:p>
    <w:p w14:paraId="53E427F0" w14:textId="45DF313F" w:rsidR="00410098" w:rsidRPr="00410098" w:rsidRDefault="00410098" w:rsidP="0036720E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Cs/>
          <w:szCs w:val="20"/>
        </w:rPr>
      </w:pPr>
      <w:r w:rsidRPr="00410098">
        <w:rPr>
          <w:rFonts w:ascii="Arial" w:eastAsia="Times New Roman" w:hAnsi="Arial" w:cs="Times New Roman"/>
          <w:bCs/>
          <w:szCs w:val="20"/>
        </w:rPr>
        <w:t>Monitoring</w:t>
      </w:r>
      <w:r>
        <w:rPr>
          <w:rFonts w:ascii="Arial" w:eastAsia="Times New Roman" w:hAnsi="Arial" w:cs="Times New Roman"/>
          <w:bCs/>
          <w:szCs w:val="20"/>
        </w:rPr>
        <w:t xml:space="preserve"> budget dilakukan setiap bulan.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36720E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662822D0" w14:textId="7B9DB377" w:rsidR="0036720E" w:rsidRDefault="0036720E" w:rsidP="0036720E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FO bertanggungjawab atas pembuatan budget penjualan dan selling expenses</w:t>
      </w:r>
    </w:p>
    <w:p w14:paraId="07FFCE48" w14:textId="3C437597" w:rsidR="0036720E" w:rsidRDefault="0036720E" w:rsidP="0036720E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SCM &amp; Purchasing bertanggungjawab atas pembuatan budget Direct Material dan Subkontraktor</w:t>
      </w:r>
    </w:p>
    <w:p w14:paraId="0734447C" w14:textId="77777777" w:rsidR="0036720E" w:rsidRDefault="0036720E" w:rsidP="0036720E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bagian MO bertanggungjawab atas pembuatan budget FOH &amp; DL</w:t>
      </w:r>
    </w:p>
    <w:p w14:paraId="1B1593E3" w14:textId="42990C4B" w:rsidR="0036720E" w:rsidRDefault="0036720E" w:rsidP="0036720E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Manager HC bertanggungjawab atas pembuatan budget GA Expenses </w:t>
      </w:r>
    </w:p>
    <w:p w14:paraId="0FEA970A" w14:textId="0495CF67" w:rsidR="0036720E" w:rsidRDefault="0036720E" w:rsidP="0036720E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FIACO bertanggungjawab atas proses penetapan budget secara keseluruhan.</w:t>
      </w:r>
    </w:p>
    <w:p w14:paraId="46675E0B" w14:textId="659CD672" w:rsidR="0036720E" w:rsidRPr="0036720E" w:rsidRDefault="0036720E" w:rsidP="0036720E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BOD bertanggungjawab </w:t>
      </w:r>
      <w:r w:rsidR="009163D2">
        <w:rPr>
          <w:rFonts w:ascii="Arial" w:eastAsia="Times New Roman" w:hAnsi="Arial" w:cs="Times New Roman"/>
          <w:szCs w:val="20"/>
        </w:rPr>
        <w:t>untuk menyetujui budget yang telah disusun.</w:t>
      </w:r>
    </w:p>
    <w:p w14:paraId="3AFA147E" w14:textId="0FAD6088" w:rsidR="000757E3" w:rsidRPr="000757E3" w:rsidRDefault="00693FE4" w:rsidP="000757E3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F246D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4946C4D6" w14:textId="34E08E8E" w:rsidR="000757E3" w:rsidRPr="00F246D9" w:rsidRDefault="000757E3" w:rsidP="000757E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Proses Penetapan Budget</w: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7991AB8" w14:textId="7432F235" w:rsidR="002E0F8B" w:rsidRDefault="00EC5C98" w:rsidP="002E0F8B">
      <w:pPr>
        <w:widowControl/>
        <w:suppressAutoHyphens/>
        <w:autoSpaceDE/>
        <w:autoSpaceDN/>
        <w:ind w:left="900" w:hanging="1800"/>
        <w:jc w:val="both"/>
        <w:rPr>
          <w:noProof/>
        </w:rPr>
      </w:pPr>
      <w:r>
        <w:object w:dxaOrig="15779" w:dyaOrig="9712" w14:anchorId="7E87E4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49.1pt;height:338pt" o:ole="">
            <v:imagedata r:id="rId11" o:title=""/>
          </v:shape>
          <o:OLEObject Type="Embed" ProgID="Visio.Drawing.11" ShapeID="_x0000_i1031" DrawAspect="Content" ObjectID="_1816169732" r:id="rId12"/>
        </w:object>
      </w:r>
    </w:p>
    <w:p w14:paraId="5258D1C3" w14:textId="77777777" w:rsidR="009B336D" w:rsidRDefault="009B336D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5424B64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E31BADA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E8A1C3E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03535FC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B417E53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0078160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0D0D3E0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D008919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9B6A8A2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669A9F2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A881B14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AE41E62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2BC2EA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E496B2B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D2C1674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2D900AF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F6EACA9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5478539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5E7C4B3" w14:textId="5CF5876A" w:rsidR="00A86C07" w:rsidRDefault="000757E3" w:rsidP="000757E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 xml:space="preserve">Proses Monitoring </w:t>
      </w:r>
      <w:r w:rsidR="009B336D">
        <w:rPr>
          <w:rFonts w:ascii="Arial" w:eastAsia="Times New Roman" w:hAnsi="Arial" w:cs="Times New Roman"/>
          <w:b/>
          <w:bCs/>
          <w:szCs w:val="20"/>
        </w:rPr>
        <w:t xml:space="preserve">dan Evaluasi </w:t>
      </w:r>
      <w:r>
        <w:rPr>
          <w:rFonts w:ascii="Arial" w:eastAsia="Times New Roman" w:hAnsi="Arial" w:cs="Times New Roman"/>
          <w:b/>
          <w:bCs/>
          <w:szCs w:val="20"/>
        </w:rPr>
        <w:t>Budget</w:t>
      </w:r>
    </w:p>
    <w:p w14:paraId="7998E309" w14:textId="69DF40E1" w:rsidR="00E741B7" w:rsidRPr="00AD27F9" w:rsidRDefault="00E741B7" w:rsidP="00E741B7">
      <w:pPr>
        <w:pStyle w:val="ListParagraph"/>
        <w:widowControl/>
        <w:autoSpaceDE/>
        <w:autoSpaceDN/>
        <w:spacing w:line="276" w:lineRule="auto"/>
        <w:ind w:left="900" w:hanging="12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2263" w:dyaOrig="9145" w14:anchorId="72015FB6">
          <v:shape id="_x0000_i1026" type="#_x0000_t75" style="width:7in;height:374.95pt" o:ole="">
            <v:imagedata r:id="rId13" o:title=""/>
          </v:shape>
          <o:OLEObject Type="Embed" ProgID="Visio.Drawing.11" ShapeID="_x0000_i1026" DrawAspect="Content" ObjectID="_1816169733" r:id="rId14"/>
        </w:object>
      </w:r>
    </w:p>
    <w:p w14:paraId="14934CF0" w14:textId="52885B40" w:rsidR="00D2470A" w:rsidRPr="005C50C0" w:rsidRDefault="00A46834" w:rsidP="005C50C0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szCs w:val="20"/>
        </w:rPr>
      </w:pPr>
      <w:r w:rsidRPr="005A1BCD">
        <w:rPr>
          <w:rFonts w:ascii="Arial" w:eastAsia="Times New Roman" w:hAnsi="Arial" w:cs="Times New Roman"/>
          <w:b/>
          <w:bCs/>
          <w:szCs w:val="20"/>
        </w:rPr>
        <w:br w:type="column"/>
        <w:t>Prosedur Detail (Penjelasan Diagram Proses Secara Lengkap)</w:t>
      </w:r>
    </w:p>
    <w:p w14:paraId="55591B89" w14:textId="2F10B112" w:rsidR="00A46834" w:rsidRPr="00D2470A" w:rsidRDefault="005A1BCD" w:rsidP="00D2470A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Prosedur Penetapan Budget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D2470A">
        <w:trPr>
          <w:trHeight w:val="5617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7524A3" w14:textId="3FFE6B63" w:rsidR="006C5755" w:rsidRPr="006C5755" w:rsidRDefault="006C5755" w:rsidP="006C5755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 w:rsidRPr="006C5755">
              <w:rPr>
                <w:rFonts w:ascii="Arial" w:eastAsia="Times New Roman" w:hAnsi="Arial" w:cs="Times New Roman"/>
                <w:szCs w:val="20"/>
              </w:rPr>
              <w:t>Prosedur Penetapan Budget</w:t>
            </w:r>
          </w:p>
          <w:p w14:paraId="542AB0C0" w14:textId="77777777" w:rsidR="006C5755" w:rsidRDefault="006C5755" w:rsidP="006C575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1342EDC" w14:textId="477F6F5B" w:rsidR="00BD5C67" w:rsidRDefault="002E0F8B" w:rsidP="006C575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Membuat </w:t>
            </w:r>
            <w:r w:rsidR="009163D2">
              <w:rPr>
                <w:rFonts w:ascii="Arial" w:hAnsi="Arial" w:cs="Arial"/>
                <w:iCs/>
              </w:rPr>
              <w:t>sales</w:t>
            </w:r>
            <w:r>
              <w:rPr>
                <w:rFonts w:ascii="Arial" w:hAnsi="Arial" w:cs="Arial"/>
                <w:iCs/>
              </w:rPr>
              <w:t xml:space="preserve"> budget</w:t>
            </w:r>
            <w:r w:rsidR="009163D2">
              <w:rPr>
                <w:rFonts w:ascii="Arial" w:hAnsi="Arial" w:cs="Arial"/>
                <w:iCs/>
              </w:rPr>
              <w:t xml:space="preserve"> dan selling expenses</w:t>
            </w:r>
            <w:r>
              <w:rPr>
                <w:rFonts w:ascii="Arial" w:hAnsi="Arial" w:cs="Arial"/>
                <w:iCs/>
              </w:rPr>
              <w:t xml:space="preserve">  </w:t>
            </w:r>
          </w:p>
          <w:p w14:paraId="28157394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D3CADCA" w14:textId="77777777" w:rsidR="002E0F8B" w:rsidRDefault="002E0F8B" w:rsidP="002E0F8B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92F73A5" w14:textId="77777777" w:rsidR="002E0F8B" w:rsidRDefault="002E0F8B" w:rsidP="006C575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2E0F8B">
              <w:rPr>
                <w:rFonts w:ascii="Arial" w:hAnsi="Arial" w:cs="Arial"/>
                <w:iCs/>
              </w:rPr>
              <w:t>Membuat budget kebutuhan material &amp; subkon</w:t>
            </w:r>
          </w:p>
          <w:p w14:paraId="59FFC589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43D9051C" w14:textId="77777777" w:rsidR="002E0F8B" w:rsidRPr="002E0F8B" w:rsidRDefault="002E0F8B" w:rsidP="006C575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44A11A1" w14:textId="115A1931" w:rsidR="009163D2" w:rsidRDefault="002E0F8B" w:rsidP="009163D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2E0F8B">
              <w:rPr>
                <w:rFonts w:ascii="Arial" w:hAnsi="Arial" w:cs="Arial"/>
                <w:iCs/>
              </w:rPr>
              <w:t xml:space="preserve">Membuat budget </w:t>
            </w:r>
            <w:r w:rsidR="009163D2">
              <w:rPr>
                <w:rFonts w:ascii="Arial" w:eastAsia="Times New Roman" w:hAnsi="Arial" w:cs="Times New Roman"/>
                <w:szCs w:val="20"/>
              </w:rPr>
              <w:t>FOH &amp; DL</w:t>
            </w:r>
          </w:p>
          <w:p w14:paraId="21B373BD" w14:textId="77777777" w:rsidR="00D62D04" w:rsidRDefault="00D62D04" w:rsidP="006C575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44CC1F7D" w14:textId="77777777" w:rsidR="009163D2" w:rsidRDefault="009163D2" w:rsidP="006C575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7C6BD1A1" w14:textId="10BB6BBA" w:rsidR="00D62D04" w:rsidRPr="002E0F8B" w:rsidRDefault="00D62D04" w:rsidP="006C575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2E0F8B">
              <w:rPr>
                <w:rFonts w:ascii="Arial" w:hAnsi="Arial" w:cs="Arial"/>
                <w:iCs/>
              </w:rPr>
              <w:t xml:space="preserve">Membuat budget biaya operasional </w:t>
            </w:r>
          </w:p>
          <w:p w14:paraId="689326CD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355ED89" w14:textId="77777777" w:rsidR="002E0F8B" w:rsidRPr="002E0F8B" w:rsidRDefault="002E0F8B" w:rsidP="006C575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2138EF9" w14:textId="77777777" w:rsidR="002E0F8B" w:rsidRDefault="002E0F8B" w:rsidP="006C575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2E0F8B">
              <w:rPr>
                <w:rFonts w:ascii="Arial" w:hAnsi="Arial" w:cs="Arial"/>
                <w:iCs/>
              </w:rPr>
              <w:t>Membuat draf budget</w:t>
            </w:r>
          </w:p>
          <w:p w14:paraId="70447417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9964DDF" w14:textId="77777777" w:rsidR="002E0F8B" w:rsidRPr="002E0F8B" w:rsidRDefault="002E0F8B" w:rsidP="006C575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jc w:val="both"/>
              <w:rPr>
                <w:rFonts w:ascii="Arial" w:hAnsi="Arial" w:cs="Arial"/>
                <w:iCs/>
              </w:rPr>
            </w:pPr>
          </w:p>
          <w:p w14:paraId="503F08AD" w14:textId="6D559959" w:rsidR="002E0F8B" w:rsidRDefault="00D62D04" w:rsidP="006C575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Rapat pembahasan </w:t>
            </w:r>
            <w:r w:rsidR="009163D2">
              <w:rPr>
                <w:rFonts w:ascii="Arial" w:hAnsi="Arial" w:cs="Arial"/>
                <w:iCs/>
              </w:rPr>
              <w:t xml:space="preserve">draf </w:t>
            </w:r>
            <w:r>
              <w:rPr>
                <w:rFonts w:ascii="Arial" w:hAnsi="Arial" w:cs="Arial"/>
                <w:iCs/>
              </w:rPr>
              <w:t>budget</w:t>
            </w:r>
          </w:p>
          <w:p w14:paraId="0D268C99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0C3968C3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C463C81" w14:textId="77777777" w:rsidR="00A133C3" w:rsidRDefault="00A133C3" w:rsidP="00A133C3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9471A45" w14:textId="77777777" w:rsidR="009163D2" w:rsidRDefault="009163D2" w:rsidP="00A133C3">
            <w:pPr>
              <w:pStyle w:val="ListParagraph"/>
              <w:rPr>
                <w:rFonts w:ascii="Arial" w:hAnsi="Arial" w:cs="Arial"/>
                <w:iCs/>
              </w:rPr>
            </w:pPr>
          </w:p>
          <w:p w14:paraId="792D1A2D" w14:textId="5EBBEF40" w:rsidR="00A133C3" w:rsidRDefault="00A133C3" w:rsidP="006C5755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Menetapkan budget</w:t>
            </w:r>
          </w:p>
          <w:p w14:paraId="1AEC6EF9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54A52E4" w14:textId="77777777" w:rsidR="00E94EB1" w:rsidRDefault="00E94EB1" w:rsidP="00E94EB1">
            <w:pPr>
              <w:pStyle w:val="ListParagraph"/>
              <w:rPr>
                <w:rFonts w:ascii="Arial" w:hAnsi="Arial" w:cs="Arial"/>
                <w:iCs/>
              </w:rPr>
            </w:pPr>
          </w:p>
          <w:p w14:paraId="0187E434" w14:textId="77777777" w:rsidR="00E94EB1" w:rsidRPr="002E0F8B" w:rsidRDefault="00E94EB1" w:rsidP="00E94EB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7C33D331" w14:textId="7A0283CC" w:rsidR="006C5755" w:rsidRDefault="006C5755" w:rsidP="006C5755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Prosedur Monitoring &amp; Evaluasi Budget</w:t>
            </w:r>
            <w:r w:rsidR="00F03E88">
              <w:rPr>
                <w:rFonts w:ascii="Arial" w:hAnsi="Arial" w:cs="Arial"/>
                <w:iCs/>
              </w:rPr>
              <w:t xml:space="preserve"> </w:t>
            </w:r>
          </w:p>
          <w:p w14:paraId="472FDEFB" w14:textId="73F0E952" w:rsidR="006C5755" w:rsidRPr="006C5755" w:rsidRDefault="006C5755" w:rsidP="006C5755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hAnsi="Arial" w:cs="Arial"/>
                <w:iCs/>
              </w:rPr>
            </w:pPr>
            <w:r w:rsidRPr="006C5755">
              <w:rPr>
                <w:rFonts w:ascii="Arial" w:hAnsi="Arial" w:cs="Arial"/>
                <w:iCs/>
              </w:rPr>
              <w:t>Analisis Cost Center (budget-actual)</w:t>
            </w:r>
          </w:p>
          <w:p w14:paraId="128A1AA1" w14:textId="77777777" w:rsidR="006C5755" w:rsidRDefault="006C5755" w:rsidP="006C5755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72C44FD" w14:textId="77777777" w:rsidR="006C5755" w:rsidRDefault="006C5755" w:rsidP="006C5755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&amp; menyampaikan laporan cost (budget-actual)</w:t>
            </w:r>
          </w:p>
          <w:p w14:paraId="7B6A126E" w14:textId="77777777" w:rsidR="009163D2" w:rsidRDefault="009163D2" w:rsidP="009163D2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85F8815" w14:textId="77777777" w:rsidR="006C5755" w:rsidRDefault="006C5755" w:rsidP="006C5755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C38FFE2" w14:textId="63F4763A" w:rsidR="006C5755" w:rsidRPr="00EE371A" w:rsidRDefault="006C5755" w:rsidP="006C5755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Rapat pembahasan &amp; evaluasi budget-actual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34B59" w14:textId="77777777" w:rsidR="009163D2" w:rsidRDefault="009163D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F9C0BD" w14:textId="77777777" w:rsidR="009163D2" w:rsidRDefault="009163D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DFB4B5" w14:textId="1AE48178" w:rsidR="00A46834" w:rsidRDefault="009163D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FO</w:t>
            </w:r>
          </w:p>
          <w:p w14:paraId="1DA9B980" w14:textId="77777777" w:rsidR="00D62D04" w:rsidRDefault="00D62D04" w:rsidP="009163D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860B3CA" w14:textId="77777777" w:rsidR="009163D2" w:rsidRDefault="009163D2" w:rsidP="009163D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7AC1084" w14:textId="77777777" w:rsidR="009163D2" w:rsidRDefault="009163D2" w:rsidP="009163D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E712D0E" w14:textId="075DF747" w:rsidR="00D62D04" w:rsidRDefault="009163D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SCM &amp; Purchasing</w:t>
            </w:r>
          </w:p>
          <w:p w14:paraId="25C0933F" w14:textId="77777777" w:rsidR="00D62D04" w:rsidRDefault="00D62D04" w:rsidP="009163D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BE8B118" w14:textId="00F19759" w:rsidR="00D62D04" w:rsidRDefault="009163D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MO</w:t>
            </w:r>
          </w:p>
          <w:p w14:paraId="5BD94C32" w14:textId="77777777" w:rsidR="009163D2" w:rsidRDefault="009163D2" w:rsidP="009163D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1028ED4" w14:textId="77777777" w:rsidR="009163D2" w:rsidRDefault="009163D2" w:rsidP="009163D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581BF7F" w14:textId="77777777" w:rsidR="00D62D04" w:rsidRDefault="00D62D0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All Departemen</w:t>
            </w:r>
          </w:p>
          <w:p w14:paraId="1E798EAF" w14:textId="77777777" w:rsidR="00D62D04" w:rsidRDefault="00D62D0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CADCD9C" w14:textId="77777777" w:rsidR="00D62D04" w:rsidRDefault="00D62D0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FIACO</w:t>
            </w:r>
          </w:p>
          <w:p w14:paraId="3E500A4C" w14:textId="77777777" w:rsidR="00A133C3" w:rsidRDefault="00A133C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A8DB33" w14:textId="77777777" w:rsidR="009163D2" w:rsidRDefault="009163D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45843B" w14:textId="77777777" w:rsidR="00A133C3" w:rsidRDefault="00A133C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BOD/BOC &amp; All Departemen </w:t>
            </w:r>
          </w:p>
          <w:p w14:paraId="015DE80D" w14:textId="77777777" w:rsidR="00A133C3" w:rsidRDefault="00A133C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B196BB0" w14:textId="77777777" w:rsidR="00A133C3" w:rsidRDefault="00A133C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6F146D5" w14:textId="77777777" w:rsidR="00A133C3" w:rsidRDefault="00A133C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BOD/BOC</w:t>
            </w:r>
          </w:p>
          <w:p w14:paraId="68F8DE5D" w14:textId="77777777" w:rsidR="006C5755" w:rsidRDefault="006C5755" w:rsidP="006C575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A0D8F60" w14:textId="77777777" w:rsidR="00E94EB1" w:rsidRDefault="00E94EB1" w:rsidP="006C575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A608C4C" w14:textId="77777777" w:rsidR="00E94EB1" w:rsidRDefault="00E94EB1" w:rsidP="006C575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98C4BD5" w14:textId="77777777" w:rsidR="00E94EB1" w:rsidRDefault="00E94EB1" w:rsidP="006C575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03634E5" w14:textId="77777777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FIACO</w:t>
            </w:r>
          </w:p>
          <w:p w14:paraId="6FAC0677" w14:textId="77777777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CC9251" w14:textId="77777777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67FD7B" w14:textId="77777777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FIACO</w:t>
            </w:r>
          </w:p>
          <w:p w14:paraId="3858647F" w14:textId="77777777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4DD62A" w14:textId="77777777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94E59E" w14:textId="77777777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7BE89F" w14:textId="0971DF6E" w:rsidR="006C5755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BOD&amp;ALL dept</w:t>
            </w:r>
          </w:p>
          <w:p w14:paraId="4CF5A36A" w14:textId="50BDC857" w:rsidR="006C5755" w:rsidRPr="00B90F67" w:rsidRDefault="006C575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2618FFAE" w14:textId="77777777" w:rsidR="00A46834" w:rsidRDefault="00A46834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D17ED8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820760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8ECA55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3F187B6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67A245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BCD790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BCA2BD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603682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FAB136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50AD42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DF2309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CEEF15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2DD1D5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9A4075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83E82B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74D804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91E550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6EE1FC" w14:textId="60581A24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Maksimal bulan November setiap tahunnya</w:t>
            </w:r>
          </w:p>
          <w:p w14:paraId="7549840D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FE951B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FB073D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B9E56A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D1317D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E9FEAB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EC692C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5EC3C3" w14:textId="77777777" w:rsidR="009163D2" w:rsidRDefault="009163D2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31AD1E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5FE6ED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FF8A6F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C30778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E9E09E" w14:textId="77777777" w:rsidR="00F03E88" w:rsidRDefault="00F03E88" w:rsidP="00F03E8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Setiap bulan</w:t>
            </w:r>
          </w:p>
          <w:p w14:paraId="52887391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EF431F" w14:textId="77777777" w:rsidR="00F03E88" w:rsidRDefault="00F03E88" w:rsidP="00F03E88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741BDC" w14:textId="675032E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Setiap bulan</w:t>
            </w:r>
          </w:p>
          <w:p w14:paraId="4C8553E6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B1BC11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BCF732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A6EE9C" w14:textId="77777777" w:rsidR="00F03E88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1CBDC7" w14:textId="77777777" w:rsidR="00F03E88" w:rsidRDefault="00F03E88" w:rsidP="00F03E8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Setiap bulan</w:t>
            </w:r>
          </w:p>
          <w:p w14:paraId="14022A01" w14:textId="5D325668" w:rsidR="00F03E88" w:rsidRPr="00B90F67" w:rsidRDefault="00F03E88" w:rsidP="009163D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 w:rsidP="00D2470A">
      <w:pPr>
        <w:pStyle w:val="Heading1"/>
        <w:ind w:left="0"/>
      </w:pPr>
    </w:p>
    <w:p w14:paraId="664CD309" w14:textId="77777777" w:rsidR="00D2470A" w:rsidRDefault="00D2470A" w:rsidP="00D2470A">
      <w:pPr>
        <w:pStyle w:val="Heading1"/>
        <w:ind w:left="0"/>
      </w:pPr>
    </w:p>
    <w:p w14:paraId="062B6493" w14:textId="77777777" w:rsidR="00D2470A" w:rsidRDefault="00D2470A" w:rsidP="00D2470A">
      <w:pPr>
        <w:pStyle w:val="Heading1"/>
        <w:ind w:left="0"/>
      </w:pPr>
    </w:p>
    <w:p w14:paraId="1BA6BB67" w14:textId="77777777" w:rsidR="00D2470A" w:rsidRDefault="00D2470A" w:rsidP="00D2470A">
      <w:pPr>
        <w:pStyle w:val="Heading1"/>
        <w:ind w:left="0"/>
      </w:pPr>
    </w:p>
    <w:p w14:paraId="78340447" w14:textId="77777777" w:rsidR="00D2470A" w:rsidRDefault="00D2470A" w:rsidP="00D2470A">
      <w:pPr>
        <w:pStyle w:val="Heading1"/>
        <w:ind w:left="0"/>
      </w:pPr>
    </w:p>
    <w:p w14:paraId="378D118E" w14:textId="77777777" w:rsidR="00D2470A" w:rsidRDefault="00D2470A" w:rsidP="00D2470A">
      <w:pPr>
        <w:pStyle w:val="Heading1"/>
        <w:ind w:left="0"/>
      </w:pPr>
    </w:p>
    <w:p w14:paraId="7A147921" w14:textId="77777777" w:rsidR="00D2470A" w:rsidRDefault="00D2470A" w:rsidP="00D2470A">
      <w:pPr>
        <w:pStyle w:val="Heading1"/>
        <w:ind w:left="0"/>
      </w:pPr>
    </w:p>
    <w:p w14:paraId="5657F24B" w14:textId="77777777" w:rsidR="00D2470A" w:rsidRDefault="00D2470A" w:rsidP="00D2470A">
      <w:pPr>
        <w:pStyle w:val="Heading1"/>
        <w:ind w:left="0"/>
      </w:pPr>
    </w:p>
    <w:p w14:paraId="4C3F42AF" w14:textId="77777777" w:rsidR="00D2470A" w:rsidRDefault="00D2470A" w:rsidP="00D2470A">
      <w:pPr>
        <w:pStyle w:val="Heading1"/>
        <w:ind w:left="0"/>
      </w:pPr>
    </w:p>
    <w:p w14:paraId="12800476" w14:textId="77777777" w:rsidR="00D2470A" w:rsidRDefault="00D2470A" w:rsidP="00D2470A">
      <w:pPr>
        <w:pStyle w:val="Heading1"/>
        <w:ind w:left="0"/>
      </w:pPr>
    </w:p>
    <w:p w14:paraId="72D3EC23" w14:textId="77777777" w:rsidR="00D2470A" w:rsidRDefault="00D2470A" w:rsidP="006C5755">
      <w:pPr>
        <w:widowControl/>
        <w:autoSpaceDE/>
        <w:autoSpaceDN/>
        <w:spacing w:line="276" w:lineRule="auto"/>
        <w:contextualSpacing/>
        <w:jc w:val="both"/>
      </w:pPr>
    </w:p>
    <w:p w14:paraId="77D6450D" w14:textId="149975A7" w:rsidR="006477E2" w:rsidRDefault="00205495" w:rsidP="0084353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</w:pPr>
      <w:r w:rsidRPr="005A1BCD">
        <w:br w:type="column"/>
      </w:r>
      <w:r w:rsidR="001A0CF0" w:rsidRPr="0084353D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D2470A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D2470A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D2470A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08700939" w14:textId="5BCC697F" w:rsidR="004A024A" w:rsidRDefault="004A024A" w:rsidP="00D2470A">
      <w:pPr>
        <w:widowControl/>
        <w:numPr>
          <w:ilvl w:val="1"/>
          <w:numId w:val="22"/>
        </w:numPr>
        <w:suppressAutoHyphens/>
        <w:autoSpaceDE/>
        <w:autoSpaceDN/>
        <w:ind w:left="990" w:hanging="630"/>
      </w:pPr>
    </w:p>
    <w:sectPr w:rsidR="004A024A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81A2" w14:textId="77777777" w:rsidR="00D1370C" w:rsidRDefault="00D1370C">
      <w:r>
        <w:separator/>
      </w:r>
    </w:p>
  </w:endnote>
  <w:endnote w:type="continuationSeparator" w:id="0">
    <w:p w14:paraId="1BD72D34" w14:textId="77777777" w:rsidR="00D1370C" w:rsidRDefault="00D1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5BF3" w14:textId="77777777" w:rsidR="00D1370C" w:rsidRDefault="00D1370C">
      <w:r>
        <w:separator/>
      </w:r>
    </w:p>
  </w:footnote>
  <w:footnote w:type="continuationSeparator" w:id="0">
    <w:p w14:paraId="3B8D3254" w14:textId="77777777" w:rsidR="00D1370C" w:rsidRDefault="00D1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935D5BF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63DCC0EA" w:rsidR="00F246D9" w:rsidRPr="001A619F" w:rsidRDefault="00F246D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PENETAPAN</w:t>
                                </w:r>
                                <w:r w:rsidR="009B336D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MONITORING</w:t>
                                </w:r>
                                <w:r w:rsidR="009B336D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, &amp; EVALUASI </w:t>
                                </w: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BUDGET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F1C9209" w:rsidR="00252FF9" w:rsidRPr="00C94E89" w:rsidRDefault="00C15A03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Staf FIACO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176966AD" w:rsidR="00C94E89" w:rsidRPr="00C94E89" w:rsidRDefault="000203E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50EDD47A" w:rsidR="00C94E89" w:rsidRPr="00C94E89" w:rsidRDefault="000203E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 FIACO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935D5BF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63DCC0EA" w:rsidR="00F246D9" w:rsidRPr="001A619F" w:rsidRDefault="00F246D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PENETAPAN</w:t>
                          </w:r>
                          <w:r w:rsidR="009B336D">
                            <w:rPr>
                              <w:b/>
                              <w:sz w:val="18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b/>
                              <w:sz w:val="18"/>
                              <w:szCs w:val="20"/>
                            </w:rPr>
                            <w:t>MONITORING</w:t>
                          </w:r>
                          <w:r w:rsidR="009B336D">
                            <w:rPr>
                              <w:b/>
                              <w:sz w:val="18"/>
                              <w:szCs w:val="20"/>
                            </w:rPr>
                            <w:t xml:space="preserve">, &amp; EVALUASI </w:t>
                          </w:r>
                          <w:r>
                            <w:rPr>
                              <w:b/>
                              <w:sz w:val="18"/>
                              <w:szCs w:val="20"/>
                            </w:rPr>
                            <w:t>BUDGET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F1C9209" w:rsidR="00252FF9" w:rsidRPr="00C94E89" w:rsidRDefault="00C15A03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Staf FIACO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176966AD" w:rsidR="00C94E89" w:rsidRPr="00C94E89" w:rsidRDefault="000203E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50EDD47A" w:rsidR="00C94E89" w:rsidRPr="00C94E89" w:rsidRDefault="000203E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 FIACO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A9B1756"/>
    <w:multiLevelType w:val="hybridMultilevel"/>
    <w:tmpl w:val="CFBAA8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48C57DBA"/>
    <w:multiLevelType w:val="hybridMultilevel"/>
    <w:tmpl w:val="CFBAA88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0F7E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8"/>
  </w:num>
  <w:num w:numId="3" w16cid:durableId="175576873">
    <w:abstractNumId w:val="7"/>
  </w:num>
  <w:num w:numId="4" w16cid:durableId="1081683183">
    <w:abstractNumId w:val="21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7"/>
  </w:num>
  <w:num w:numId="8" w16cid:durableId="1060052164">
    <w:abstractNumId w:val="10"/>
  </w:num>
  <w:num w:numId="9" w16cid:durableId="402292720">
    <w:abstractNumId w:val="13"/>
  </w:num>
  <w:num w:numId="10" w16cid:durableId="2108766211">
    <w:abstractNumId w:val="4"/>
  </w:num>
  <w:num w:numId="11" w16cid:durableId="1503936087">
    <w:abstractNumId w:val="19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2"/>
  </w:num>
  <w:num w:numId="16" w16cid:durableId="421995220">
    <w:abstractNumId w:val="6"/>
  </w:num>
  <w:num w:numId="17" w16cid:durableId="778986211">
    <w:abstractNumId w:val="20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9"/>
  </w:num>
  <w:num w:numId="21" w16cid:durableId="1921867951">
    <w:abstractNumId w:val="15"/>
  </w:num>
  <w:num w:numId="22" w16cid:durableId="2028208735">
    <w:abstractNumId w:val="16"/>
  </w:num>
  <w:num w:numId="23" w16cid:durableId="1962607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203E5"/>
    <w:rsid w:val="00025B3A"/>
    <w:rsid w:val="0004512E"/>
    <w:rsid w:val="000757E3"/>
    <w:rsid w:val="00111626"/>
    <w:rsid w:val="001632ED"/>
    <w:rsid w:val="00171448"/>
    <w:rsid w:val="00171E99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4BB5"/>
    <w:rsid w:val="002A7C25"/>
    <w:rsid w:val="002E0F8B"/>
    <w:rsid w:val="002E5516"/>
    <w:rsid w:val="00323B41"/>
    <w:rsid w:val="00351DBA"/>
    <w:rsid w:val="0036720E"/>
    <w:rsid w:val="0039052D"/>
    <w:rsid w:val="00390F15"/>
    <w:rsid w:val="003969EF"/>
    <w:rsid w:val="0039726D"/>
    <w:rsid w:val="003B0612"/>
    <w:rsid w:val="003C2607"/>
    <w:rsid w:val="003F425A"/>
    <w:rsid w:val="003F61DF"/>
    <w:rsid w:val="00410098"/>
    <w:rsid w:val="00460991"/>
    <w:rsid w:val="00475F4D"/>
    <w:rsid w:val="00476085"/>
    <w:rsid w:val="004A024A"/>
    <w:rsid w:val="004A250F"/>
    <w:rsid w:val="004B7199"/>
    <w:rsid w:val="00536A32"/>
    <w:rsid w:val="00560FB1"/>
    <w:rsid w:val="005A1BCD"/>
    <w:rsid w:val="005C50C0"/>
    <w:rsid w:val="00622DAA"/>
    <w:rsid w:val="006477E2"/>
    <w:rsid w:val="006652E6"/>
    <w:rsid w:val="00693FE4"/>
    <w:rsid w:val="006C5755"/>
    <w:rsid w:val="006D1762"/>
    <w:rsid w:val="006E5030"/>
    <w:rsid w:val="0074351E"/>
    <w:rsid w:val="007E34CE"/>
    <w:rsid w:val="008115E3"/>
    <w:rsid w:val="0084160A"/>
    <w:rsid w:val="0084353D"/>
    <w:rsid w:val="008473E6"/>
    <w:rsid w:val="008919AF"/>
    <w:rsid w:val="008C2875"/>
    <w:rsid w:val="00905692"/>
    <w:rsid w:val="00906963"/>
    <w:rsid w:val="009163D2"/>
    <w:rsid w:val="0093621B"/>
    <w:rsid w:val="00981CA9"/>
    <w:rsid w:val="009B336D"/>
    <w:rsid w:val="009B7236"/>
    <w:rsid w:val="009C251D"/>
    <w:rsid w:val="009E1201"/>
    <w:rsid w:val="009F6831"/>
    <w:rsid w:val="00A133C3"/>
    <w:rsid w:val="00A1639A"/>
    <w:rsid w:val="00A32B7C"/>
    <w:rsid w:val="00A4481A"/>
    <w:rsid w:val="00A46834"/>
    <w:rsid w:val="00A71C98"/>
    <w:rsid w:val="00A80C3D"/>
    <w:rsid w:val="00A86C07"/>
    <w:rsid w:val="00AA24C3"/>
    <w:rsid w:val="00AC6CC8"/>
    <w:rsid w:val="00AD27F9"/>
    <w:rsid w:val="00AF5720"/>
    <w:rsid w:val="00B76FFC"/>
    <w:rsid w:val="00B90F67"/>
    <w:rsid w:val="00B9168B"/>
    <w:rsid w:val="00BD5C67"/>
    <w:rsid w:val="00C00BB4"/>
    <w:rsid w:val="00C1252E"/>
    <w:rsid w:val="00C15A03"/>
    <w:rsid w:val="00C332BB"/>
    <w:rsid w:val="00C3388B"/>
    <w:rsid w:val="00C46D67"/>
    <w:rsid w:val="00C73CA5"/>
    <w:rsid w:val="00C94E89"/>
    <w:rsid w:val="00CA4D4F"/>
    <w:rsid w:val="00CC154A"/>
    <w:rsid w:val="00CF2541"/>
    <w:rsid w:val="00D104F9"/>
    <w:rsid w:val="00D1370C"/>
    <w:rsid w:val="00D2470A"/>
    <w:rsid w:val="00D32316"/>
    <w:rsid w:val="00D62D04"/>
    <w:rsid w:val="00D85894"/>
    <w:rsid w:val="00DC290F"/>
    <w:rsid w:val="00E73297"/>
    <w:rsid w:val="00E741B7"/>
    <w:rsid w:val="00E86F3F"/>
    <w:rsid w:val="00E94EB1"/>
    <w:rsid w:val="00EA790F"/>
    <w:rsid w:val="00EC5C98"/>
    <w:rsid w:val="00EC5ECF"/>
    <w:rsid w:val="00EE371A"/>
    <w:rsid w:val="00F010FF"/>
    <w:rsid w:val="00F03E88"/>
    <w:rsid w:val="00F246D9"/>
    <w:rsid w:val="00F27EAF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25</cp:revision>
  <dcterms:created xsi:type="dcterms:W3CDTF">2025-04-11T03:07:00Z</dcterms:created>
  <dcterms:modified xsi:type="dcterms:W3CDTF">2025-08-08T07:49:00Z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