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7101782" w:rsidR="00460991" w:rsidRPr="00C94E89" w:rsidRDefault="003B3EF2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34E35B5A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C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B3EF2" w:rsidRPr="000C2CA6">
              <w:rPr>
                <w:rFonts w:ascii="Arial" w:hAnsi="Arial" w:cs="Arial"/>
                <w:b/>
                <w:bCs/>
                <w:sz w:val="20"/>
                <w:szCs w:val="20"/>
              </w:rPr>
              <w:t>PCH.P.</w:t>
            </w:r>
            <w:r w:rsidR="000C2CA6" w:rsidRPr="000C2CA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5ECFBC84" w:rsidR="00460991" w:rsidRPr="00C94E89" w:rsidRDefault="003B3EF2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PENILAIAN KINERJA PEMASOK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3FBB9A64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5369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7A1ECC1C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04C3D">
              <w:rPr>
                <w:rFonts w:ascii="Arial" w:hAnsi="Arial" w:cs="Arial"/>
                <w:b/>
                <w:sz w:val="20"/>
                <w:szCs w:val="20"/>
              </w:rPr>
              <w:t>22 April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6C587682" w:rsidR="00460991" w:rsidRPr="00353695" w:rsidRDefault="001A2572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>M. Ichwan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6B7AF9DD" w:rsidR="00460991" w:rsidRPr="00353695" w:rsidRDefault="007B0E10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Asst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="00AD27F9" w:rsidRP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of P</w:t>
            </w:r>
            <w:r w:rsid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urchasing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359332BC" w:rsidR="00460991" w:rsidRPr="00353695" w:rsidRDefault="00323FAA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B0E1383" wp14:editId="160F71CB">
                  <wp:extent cx="1073150" cy="697865"/>
                  <wp:effectExtent l="0" t="0" r="0" b="6985"/>
                  <wp:docPr id="87504060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040603" name="Picture 87504060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656" cy="71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353ABE78" w:rsidR="00460991" w:rsidRPr="00353695" w:rsidRDefault="001A2572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="00AD27F9"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  <w:r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Mauludin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42A5327C" w:rsidR="00460991" w:rsidRPr="00353695" w:rsidRDefault="00AD27F9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P</w:t>
            </w:r>
            <w:r w:rsidR="001A2572" w:rsidRP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ch</w:t>
            </w:r>
            <w:proofErr w:type="spellEnd"/>
            <w:r w:rsidR="001A2572" w:rsidRP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Manager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04E27340" w14:textId="408CDADB" w:rsidR="00460991" w:rsidRPr="00C94E89" w:rsidRDefault="00D42782" w:rsidP="00D42782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4F4FC579" wp14:editId="35099AC6">
                  <wp:extent cx="947420" cy="584200"/>
                  <wp:effectExtent l="0" t="0" r="5080" b="6350"/>
                  <wp:docPr id="1461008937" name="Picture 6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008937" name="Picture 6" descr="A signature on a white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5F42AB94" w14:textId="64401317" w:rsidR="00077092" w:rsidRPr="00077092" w:rsidRDefault="00B90F67" w:rsidP="00077092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RUANG LINGKUP</w:t>
      </w:r>
    </w:p>
    <w:p w14:paraId="10F9D335" w14:textId="77777777" w:rsidR="00077092" w:rsidRPr="00077092" w:rsidRDefault="00077092" w:rsidP="00077092">
      <w:pPr>
        <w:widowControl/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Ruang </w:t>
      </w:r>
      <w:proofErr w:type="spellStart"/>
      <w:r w:rsidRPr="00077092">
        <w:rPr>
          <w:rFonts w:ascii="Arial" w:eastAsia="Times New Roman" w:hAnsi="Arial" w:cs="Times New Roman"/>
          <w:bCs/>
          <w:szCs w:val="20"/>
          <w:lang w:val="en-GB"/>
        </w:rPr>
        <w:t>lingkup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  <w:lang w:val="en-GB"/>
        </w:rPr>
        <w:t>dari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  <w:lang w:val="en-GB"/>
        </w:rPr>
        <w:t>Prosedur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  <w:lang w:val="en-GB"/>
        </w:rPr>
        <w:t>ini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proofErr w:type="gramStart"/>
      <w:r w:rsidRPr="00077092">
        <w:rPr>
          <w:rFonts w:ascii="Arial" w:eastAsia="Times New Roman" w:hAnsi="Arial" w:cs="Times New Roman"/>
          <w:bCs/>
          <w:szCs w:val="20"/>
          <w:lang w:val="en-GB"/>
        </w:rPr>
        <w:t>adalah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:</w:t>
      </w:r>
      <w:proofErr w:type="gramEnd"/>
    </w:p>
    <w:p w14:paraId="5B286188" w14:textId="6FDE5656" w:rsidR="00077092" w:rsidRPr="00077092" w:rsidRDefault="00077092" w:rsidP="00077092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</w:rPr>
      </w:pPr>
      <w:r w:rsidRPr="00077092">
        <w:rPr>
          <w:rFonts w:ascii="Arial" w:eastAsia="Times New Roman" w:hAnsi="Arial" w:cs="Times New Roman"/>
          <w:bCs/>
          <w:szCs w:val="20"/>
        </w:rPr>
        <w:t xml:space="preserve">Data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inputan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diantaranya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berupa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hasil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r w:rsidR="00C10BC3">
        <w:rPr>
          <w:rFonts w:ascii="Arial" w:eastAsia="Times New Roman" w:hAnsi="Arial" w:cs="Times New Roman"/>
          <w:bCs/>
          <w:szCs w:val="20"/>
        </w:rPr>
        <w:t>SCM</w:t>
      </w:r>
      <w:r w:rsidRPr="00077092">
        <w:rPr>
          <w:rFonts w:ascii="Arial" w:eastAsia="Times New Roman" w:hAnsi="Arial" w:cs="Times New Roman"/>
          <w:bCs/>
          <w:szCs w:val="20"/>
        </w:rPr>
        <w:t>, QC dan HC&amp;GA</w:t>
      </w:r>
    </w:p>
    <w:p w14:paraId="373290F9" w14:textId="53353433" w:rsidR="00077092" w:rsidRPr="00077092" w:rsidRDefault="00077092" w:rsidP="00077092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oleh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Purchasing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sama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oleh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r w:rsidR="00C10BC3">
        <w:rPr>
          <w:rFonts w:ascii="Arial" w:eastAsia="Times New Roman" w:hAnsi="Arial" w:cs="Times New Roman"/>
          <w:bCs/>
          <w:szCs w:val="20"/>
        </w:rPr>
        <w:t>SCM</w:t>
      </w:r>
      <w:r w:rsidRPr="00077092">
        <w:rPr>
          <w:rFonts w:ascii="Arial" w:eastAsia="Times New Roman" w:hAnsi="Arial" w:cs="Times New Roman"/>
          <w:bCs/>
          <w:szCs w:val="20"/>
        </w:rPr>
        <w:t>, QC dan HC&amp;GA</w:t>
      </w:r>
    </w:p>
    <w:p w14:paraId="29F06FE2" w14:textId="701B7765" w:rsidR="00077092" w:rsidRPr="00077092" w:rsidRDefault="00077092" w:rsidP="00077092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oleh Purchasing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menggunakan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standa</w:t>
      </w:r>
      <w:r w:rsidR="00C10BC3">
        <w:rPr>
          <w:rFonts w:ascii="Arial" w:eastAsia="Times New Roman" w:hAnsi="Arial" w:cs="Times New Roman"/>
          <w:bCs/>
          <w:szCs w:val="20"/>
        </w:rPr>
        <w:t>r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BA31E9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="00BA31E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BA31E9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="00BA31E9">
        <w:rPr>
          <w:rFonts w:ascii="Arial" w:eastAsia="Times New Roman" w:hAnsi="Arial" w:cs="Times New Roman"/>
          <w:bCs/>
          <w:szCs w:val="20"/>
        </w:rPr>
        <w:t xml:space="preserve"> </w:t>
      </w:r>
      <w:r w:rsidRPr="00077092">
        <w:rPr>
          <w:rFonts w:ascii="Arial" w:eastAsia="Times New Roman" w:hAnsi="Arial" w:cs="Times New Roman"/>
          <w:bCs/>
          <w:szCs w:val="20"/>
        </w:rPr>
        <w:t xml:space="preserve">yang </w:t>
      </w:r>
      <w:proofErr w:type="spellStart"/>
      <w:r w:rsidR="00BA31E9">
        <w:rPr>
          <w:rFonts w:ascii="Arial" w:eastAsia="Times New Roman" w:hAnsi="Arial" w:cs="Times New Roman"/>
          <w:bCs/>
          <w:szCs w:val="20"/>
        </w:rPr>
        <w:t>dipengaruhi</w:t>
      </w:r>
      <w:proofErr w:type="spellEnd"/>
      <w:r w:rsidR="00BA31E9">
        <w:rPr>
          <w:rFonts w:ascii="Arial" w:eastAsia="Times New Roman" w:hAnsi="Arial" w:cs="Times New Roman"/>
          <w:bCs/>
          <w:szCs w:val="20"/>
        </w:rPr>
        <w:t xml:space="preserve"> oleh</w:t>
      </w:r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hasil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r w:rsidR="00C10BC3">
        <w:rPr>
          <w:rFonts w:ascii="Arial" w:eastAsia="Times New Roman" w:hAnsi="Arial" w:cs="Times New Roman"/>
          <w:bCs/>
          <w:szCs w:val="20"/>
        </w:rPr>
        <w:t>SCM</w:t>
      </w:r>
      <w:r w:rsidRPr="00077092">
        <w:rPr>
          <w:rFonts w:ascii="Arial" w:eastAsia="Times New Roman" w:hAnsi="Arial" w:cs="Times New Roman"/>
          <w:bCs/>
          <w:szCs w:val="20"/>
        </w:rPr>
        <w:t>, QC dan HC&amp;GA</w:t>
      </w:r>
    </w:p>
    <w:p w14:paraId="0800F943" w14:textId="77777777" w:rsidR="00077092" w:rsidRPr="00077092" w:rsidRDefault="00077092" w:rsidP="00077092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termasuk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ini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adalah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bahan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baku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(Supplier) dan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(Sub Kont.) </w:t>
      </w:r>
      <w:proofErr w:type="gramStart"/>
      <w:r w:rsidRPr="00077092">
        <w:rPr>
          <w:rFonts w:ascii="Arial" w:eastAsia="Times New Roman" w:hAnsi="Arial" w:cs="Times New Roman"/>
          <w:bCs/>
          <w:szCs w:val="20"/>
        </w:rPr>
        <w:t xml:space="preserve">yang 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meliputi</w:t>
      </w:r>
      <w:proofErr w:type="spellEnd"/>
      <w:proofErr w:type="gramEnd"/>
      <w:r w:rsidRPr="00077092">
        <w:rPr>
          <w:rFonts w:ascii="Arial" w:eastAsia="Times New Roman" w:hAnsi="Arial" w:cs="Times New Roman"/>
          <w:bCs/>
          <w:szCs w:val="20"/>
        </w:rPr>
        <w:t xml:space="preserve"> (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terlampir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) yang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jumlah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maupun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nama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bisa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berubah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sesuai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kebutuhan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hasil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evaluasi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sebelumnya</w:t>
      </w:r>
      <w:proofErr w:type="spellEnd"/>
    </w:p>
    <w:p w14:paraId="464D4E24" w14:textId="77777777" w:rsidR="00077092" w:rsidRPr="00B90F67" w:rsidRDefault="00077092" w:rsidP="0007709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13B714EE" w14:textId="23B6AD6F" w:rsidR="00AD27F9" w:rsidRPr="00077092" w:rsidRDefault="00B90F67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4FAED95E" w14:textId="77777777" w:rsidR="00077092" w:rsidRPr="00077092" w:rsidRDefault="00077092" w:rsidP="00077092">
      <w:pPr>
        <w:widowControl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Prosedur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ini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ditujukan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proofErr w:type="gram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untuk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:</w:t>
      </w:r>
      <w:proofErr w:type="gramEnd"/>
    </w:p>
    <w:p w14:paraId="01D5D613" w14:textId="77777777" w:rsidR="00077092" w:rsidRPr="00077092" w:rsidRDefault="00077092" w:rsidP="00077092">
      <w:pPr>
        <w:widowControl/>
        <w:numPr>
          <w:ilvl w:val="1"/>
          <w:numId w:val="18"/>
        </w:numPr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Memastikan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penilaian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pemasok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dilakukan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dengan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suatu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metode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penilaian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yang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benar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.</w:t>
      </w:r>
    </w:p>
    <w:p w14:paraId="0382521A" w14:textId="77777777" w:rsidR="00077092" w:rsidRPr="00077092" w:rsidRDefault="00077092" w:rsidP="00077092">
      <w:pPr>
        <w:widowControl/>
        <w:numPr>
          <w:ilvl w:val="1"/>
          <w:numId w:val="18"/>
        </w:numPr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Sebagai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informasi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standar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kinerja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pemasok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bagi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PT. Chitose Internasional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Tbk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.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Khususnya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id-ID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bagian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purchasing.</w:t>
      </w:r>
    </w:p>
    <w:p w14:paraId="10274E1A" w14:textId="77777777" w:rsidR="00077092" w:rsidRPr="00B90F67" w:rsidRDefault="00077092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0E92D20D" w:rsidR="00D104F9" w:rsidRPr="00766DC3" w:rsidRDefault="00B90F67" w:rsidP="00766DC3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FC09AEB" w14:textId="77777777" w:rsidR="00766DC3" w:rsidRPr="00766DC3" w:rsidRDefault="00766DC3" w:rsidP="00766DC3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 xml:space="preserve">PT. Chitose Internasional </w:t>
      </w:r>
      <w:proofErr w:type="spellStart"/>
      <w:r w:rsidRPr="00766DC3">
        <w:rPr>
          <w:rFonts w:ascii="Arial" w:eastAsia="Times New Roman" w:hAnsi="Arial" w:cs="Times New Roman"/>
          <w:b/>
          <w:szCs w:val="20"/>
        </w:rPr>
        <w:t>Tbk</w:t>
      </w:r>
      <w:proofErr w:type="spellEnd"/>
      <w:r w:rsidRPr="00766DC3">
        <w:rPr>
          <w:rFonts w:ascii="Arial" w:eastAsia="Times New Roman" w:hAnsi="Arial" w:cs="Times New Roman"/>
          <w:b/>
          <w:szCs w:val="20"/>
        </w:rPr>
        <w:t>. (PT. CINT)</w:t>
      </w:r>
    </w:p>
    <w:p w14:paraId="5B040DB3" w14:textId="77777777" w:rsidR="00766DC3" w:rsidRPr="00766DC3" w:rsidRDefault="00766DC3" w:rsidP="00766DC3">
      <w:pPr>
        <w:widowControl/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Cs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ab/>
      </w:r>
      <w:r w:rsidRPr="00766DC3">
        <w:rPr>
          <w:rFonts w:ascii="Arial" w:eastAsia="Times New Roman" w:hAnsi="Arial" w:cs="Times New Roman"/>
          <w:bCs/>
          <w:szCs w:val="20"/>
          <w:lang w:val="de-DE"/>
        </w:rPr>
        <w:t xml:space="preserve">Adalah badan hukum yang beralamat di Jln. </w:t>
      </w:r>
      <w:r w:rsidRPr="00766DC3">
        <w:rPr>
          <w:rFonts w:ascii="Arial" w:eastAsia="Times New Roman" w:hAnsi="Arial" w:cs="Times New Roman"/>
          <w:bCs/>
          <w:szCs w:val="20"/>
        </w:rPr>
        <w:t xml:space="preserve">Industri III No. 5 RT.001 RW.008, </w:t>
      </w:r>
      <w:proofErr w:type="gramStart"/>
      <w:r w:rsidRPr="00766DC3">
        <w:rPr>
          <w:rFonts w:ascii="Arial" w:eastAsia="Times New Roman" w:hAnsi="Arial" w:cs="Times New Roman"/>
          <w:bCs/>
          <w:szCs w:val="20"/>
        </w:rPr>
        <w:t xml:space="preserve">Utama, 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Cimahi</w:t>
      </w:r>
      <w:proofErr w:type="spellEnd"/>
      <w:proofErr w:type="gramEnd"/>
      <w:r w:rsidRPr="00766DC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selatan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Cimahi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, Jawa Barat 40533, Indonesia. Dapat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disingkat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 CINT.</w:t>
      </w:r>
    </w:p>
    <w:p w14:paraId="3B01580B" w14:textId="0FD61DC5" w:rsidR="00766DC3" w:rsidRPr="00766DC3" w:rsidRDefault="00766DC3" w:rsidP="00BA31E9">
      <w:pPr>
        <w:widowControl/>
        <w:numPr>
          <w:ilvl w:val="1"/>
          <w:numId w:val="17"/>
        </w:numPr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766DC3">
        <w:rPr>
          <w:rFonts w:ascii="Arial" w:eastAsia="Times New Roman" w:hAnsi="Arial" w:cs="Times New Roman"/>
          <w:b/>
          <w:szCs w:val="20"/>
        </w:rPr>
        <w:t>Pemasok</w:t>
      </w:r>
      <w:proofErr w:type="spellEnd"/>
      <w:r w:rsidRPr="00766DC3">
        <w:rPr>
          <w:rFonts w:ascii="Arial" w:eastAsia="Times New Roman" w:hAnsi="Arial" w:cs="Times New Roman"/>
          <w:b/>
          <w:szCs w:val="20"/>
        </w:rPr>
        <w:t xml:space="preserve"> </w:t>
      </w:r>
    </w:p>
    <w:p w14:paraId="7B78DDF6" w14:textId="3D9B6F72" w:rsidR="00766DC3" w:rsidRDefault="00766DC3" w:rsidP="00766DC3">
      <w:pPr>
        <w:widowControl/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Cs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ab/>
      </w:r>
      <w:r w:rsidRPr="00390029"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semua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pihak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perusahaan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rekanan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mensuplai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proofErr w:type="gramStart"/>
      <w:r w:rsidRPr="00390029">
        <w:rPr>
          <w:rFonts w:ascii="Arial" w:eastAsia="Times New Roman" w:hAnsi="Arial" w:cs="Times New Roman"/>
          <w:bCs/>
          <w:szCs w:val="20"/>
        </w:rPr>
        <w:t>kebutuhan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perusahaan</w:t>
      </w:r>
      <w:proofErr w:type="spellEnd"/>
      <w:proofErr w:type="gram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baik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bentuk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material,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/ non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dll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>.</w:t>
      </w:r>
    </w:p>
    <w:p w14:paraId="118A4FFF" w14:textId="77777777" w:rsidR="00390029" w:rsidRPr="00390029" w:rsidRDefault="00390029" w:rsidP="00390029">
      <w:pPr>
        <w:widowControl/>
        <w:tabs>
          <w:tab w:val="num" w:pos="369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56BD1E00" w14:textId="67509F24" w:rsidR="00AD27F9" w:rsidRPr="00FA7F8A" w:rsidRDefault="00B90F67" w:rsidP="00FA7F8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6B039CBA" w14:textId="5300FFBD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Prosedur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ini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mulai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berlaku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saat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diterimanya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data </w:t>
      </w:r>
      <w:proofErr w:type="spellStart"/>
      <w:proofErr w:type="gram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 </w:t>
      </w:r>
      <w:proofErr w:type="spellStart"/>
      <w:r w:rsidRPr="00735670">
        <w:rPr>
          <w:rFonts w:ascii="Arial" w:eastAsia="Times New Roman" w:hAnsi="Arial" w:cs="Times New Roman"/>
          <w:szCs w:val="20"/>
        </w:rPr>
        <w:t>dari</w:t>
      </w:r>
      <w:proofErr w:type="spellEnd"/>
      <w:proofErr w:type="gram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bagian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terkait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, </w:t>
      </w:r>
      <w:proofErr w:type="spellStart"/>
      <w:proofErr w:type="gramStart"/>
      <w:r w:rsidRPr="00735670">
        <w:rPr>
          <w:rFonts w:ascii="Arial" w:eastAsia="Times New Roman" w:hAnsi="Arial" w:cs="Times New Roman"/>
          <w:szCs w:val="20"/>
        </w:rPr>
        <w:t>yaitu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:</w:t>
      </w:r>
      <w:proofErr w:type="gramEnd"/>
      <w:r w:rsidRPr="00735670">
        <w:rPr>
          <w:rFonts w:ascii="Arial" w:eastAsia="Times New Roman" w:hAnsi="Arial" w:cs="Times New Roman"/>
          <w:szCs w:val="20"/>
        </w:rPr>
        <w:t xml:space="preserve"> QC, </w:t>
      </w:r>
      <w:r w:rsidR="008347BC">
        <w:rPr>
          <w:rFonts w:ascii="Arial" w:eastAsia="Times New Roman" w:hAnsi="Arial" w:cs="Times New Roman"/>
          <w:szCs w:val="20"/>
        </w:rPr>
        <w:t>SCM</w:t>
      </w:r>
      <w:r w:rsidRPr="00735670">
        <w:rPr>
          <w:rFonts w:ascii="Arial" w:eastAsia="Times New Roman" w:hAnsi="Arial" w:cs="Times New Roman"/>
          <w:szCs w:val="20"/>
        </w:rPr>
        <w:t xml:space="preserve"> dan HC&amp;GA.</w:t>
      </w:r>
    </w:p>
    <w:p w14:paraId="04A0828F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Semua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informasi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735670">
        <w:rPr>
          <w:rFonts w:ascii="Arial" w:eastAsia="Times New Roman" w:hAnsi="Arial" w:cs="Times New Roman"/>
          <w:szCs w:val="20"/>
        </w:rPr>
        <w:t>diperlukan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dalam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prosedur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ini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harus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lengkap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735670">
        <w:rPr>
          <w:rFonts w:ascii="Arial" w:eastAsia="Times New Roman" w:hAnsi="Arial" w:cs="Times New Roman"/>
          <w:szCs w:val="20"/>
        </w:rPr>
        <w:t>jelas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1CBD6C83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dilaksanakan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dalam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interval </w:t>
      </w:r>
      <w:proofErr w:type="spellStart"/>
      <w:r w:rsidRPr="00735670">
        <w:rPr>
          <w:rFonts w:ascii="Arial" w:eastAsia="Times New Roman" w:hAnsi="Arial" w:cs="Times New Roman"/>
          <w:szCs w:val="20"/>
        </w:rPr>
        <w:t>setiap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4 (</w:t>
      </w:r>
      <w:proofErr w:type="spellStart"/>
      <w:r w:rsidRPr="00735670">
        <w:rPr>
          <w:rFonts w:ascii="Arial" w:eastAsia="Times New Roman" w:hAnsi="Arial" w:cs="Times New Roman"/>
          <w:szCs w:val="20"/>
        </w:rPr>
        <w:t>empat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) </w:t>
      </w:r>
      <w:proofErr w:type="spellStart"/>
      <w:r w:rsidRPr="00735670">
        <w:rPr>
          <w:rFonts w:ascii="Arial" w:eastAsia="Times New Roman" w:hAnsi="Arial" w:cs="Times New Roman"/>
          <w:szCs w:val="20"/>
        </w:rPr>
        <w:t>bulan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sekali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termasuk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evaluasi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terhadap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daftar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735670">
        <w:rPr>
          <w:rFonts w:ascii="Arial" w:eastAsia="Times New Roman" w:hAnsi="Arial" w:cs="Times New Roman"/>
          <w:szCs w:val="20"/>
        </w:rPr>
        <w:t>dinilai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29F898C9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Kriteria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dalam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proofErr w:type="gramStart"/>
      <w:r w:rsidRPr="00735670">
        <w:rPr>
          <w:rFonts w:ascii="Arial" w:eastAsia="Times New Roman" w:hAnsi="Arial" w:cs="Times New Roman"/>
          <w:szCs w:val="20"/>
        </w:rPr>
        <w:t>adalah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:</w:t>
      </w:r>
      <w:proofErr w:type="gramEnd"/>
    </w:p>
    <w:p w14:paraId="410A1D87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  <w:lang w:val="de-DE"/>
        </w:rPr>
        <w:t xml:space="preserve">Kondisi barang yang diterima sesuai dengan Spesifikasi yang ditentukan oleh PT. </w:t>
      </w:r>
      <w:r w:rsidRPr="00735670">
        <w:rPr>
          <w:rFonts w:ascii="Arial" w:eastAsia="Times New Roman" w:hAnsi="Arial" w:cs="Times New Roman"/>
          <w:szCs w:val="20"/>
        </w:rPr>
        <w:t xml:space="preserve">Chitose Internasional </w:t>
      </w:r>
      <w:proofErr w:type="spellStart"/>
      <w:r w:rsidRPr="00735670">
        <w:rPr>
          <w:rFonts w:ascii="Arial" w:eastAsia="Times New Roman" w:hAnsi="Arial" w:cs="Times New Roman"/>
          <w:szCs w:val="20"/>
        </w:rPr>
        <w:t>Tbk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3C1B9AF6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Ketepatan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Jumlah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Pengiriman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735670">
        <w:rPr>
          <w:rFonts w:ascii="Arial" w:eastAsia="Times New Roman" w:hAnsi="Arial" w:cs="Times New Roman"/>
          <w:szCs w:val="20"/>
        </w:rPr>
        <w:t>waktu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pengiriman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sesuai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dengan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735670">
        <w:rPr>
          <w:rFonts w:ascii="Arial" w:eastAsia="Times New Roman" w:hAnsi="Arial" w:cs="Times New Roman"/>
          <w:szCs w:val="20"/>
        </w:rPr>
        <w:t>ditentukan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oleh </w:t>
      </w:r>
      <w:proofErr w:type="spellStart"/>
      <w:proofErr w:type="gramStart"/>
      <w:r w:rsidRPr="00735670">
        <w:rPr>
          <w:rFonts w:ascii="Arial" w:eastAsia="Times New Roman" w:hAnsi="Arial" w:cs="Times New Roman"/>
          <w:szCs w:val="20"/>
        </w:rPr>
        <w:t>PT.Chitose</w:t>
      </w:r>
      <w:proofErr w:type="spellEnd"/>
      <w:proofErr w:type="gramEnd"/>
      <w:r w:rsidRPr="00735670">
        <w:rPr>
          <w:rFonts w:ascii="Arial" w:eastAsia="Times New Roman" w:hAnsi="Arial" w:cs="Times New Roman"/>
          <w:szCs w:val="20"/>
        </w:rPr>
        <w:t xml:space="preserve"> Internasional </w:t>
      </w:r>
      <w:proofErr w:type="spellStart"/>
      <w:r w:rsidRPr="00735670">
        <w:rPr>
          <w:rFonts w:ascii="Arial" w:eastAsia="Times New Roman" w:hAnsi="Arial" w:cs="Times New Roman"/>
          <w:szCs w:val="20"/>
        </w:rPr>
        <w:t>Tbk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0A149DD2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</w:rPr>
        <w:t>P</w:t>
      </w:r>
      <w:r w:rsidRPr="00735670">
        <w:rPr>
          <w:rFonts w:ascii="Arial" w:eastAsia="Times New Roman" w:hAnsi="Arial" w:cs="Times New Roman"/>
          <w:szCs w:val="20"/>
          <w:lang w:val="id-ID"/>
        </w:rPr>
        <w:t>elayanan dan respon terhadap</w:t>
      </w:r>
      <w:r w:rsidRPr="00735670">
        <w:rPr>
          <w:rFonts w:ascii="Arial" w:eastAsia="Times New Roman" w:hAnsi="Arial" w:cs="Times New Roman"/>
          <w:szCs w:val="20"/>
        </w:rPr>
        <w:t xml:space="preserve"> PO</w:t>
      </w:r>
      <w:r w:rsidRPr="00735670">
        <w:rPr>
          <w:rFonts w:ascii="Arial" w:eastAsia="Times New Roman" w:hAnsi="Arial" w:cs="Times New Roman"/>
          <w:szCs w:val="20"/>
          <w:lang w:val="id-ID"/>
        </w:rPr>
        <w:t>, dan layanan pengaduan ketidaksesuaian produ</w:t>
      </w:r>
      <w:r w:rsidRPr="00735670">
        <w:rPr>
          <w:rFonts w:ascii="Arial" w:eastAsia="Times New Roman" w:hAnsi="Arial" w:cs="Times New Roman"/>
          <w:szCs w:val="20"/>
        </w:rPr>
        <w:t>k, b</w:t>
      </w:r>
      <w:r w:rsidRPr="00735670">
        <w:rPr>
          <w:rFonts w:ascii="Arial" w:eastAsia="Times New Roman" w:hAnsi="Arial" w:cs="Times New Roman"/>
          <w:szCs w:val="20"/>
          <w:lang w:val="id-ID"/>
        </w:rPr>
        <w:t>aik secara lisan maupun tertulis.</w:t>
      </w:r>
    </w:p>
    <w:p w14:paraId="4EB5A91B" w14:textId="027715C6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Penerapan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terhadap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Kesehatan, </w:t>
      </w:r>
      <w:proofErr w:type="spellStart"/>
      <w:r w:rsidRPr="00735670">
        <w:rPr>
          <w:rFonts w:ascii="Arial" w:eastAsia="Times New Roman" w:hAnsi="Arial" w:cs="Times New Roman"/>
          <w:szCs w:val="20"/>
        </w:rPr>
        <w:t>Keselamatan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735670">
        <w:rPr>
          <w:rFonts w:ascii="Arial" w:eastAsia="Times New Roman" w:hAnsi="Arial" w:cs="Times New Roman"/>
          <w:szCs w:val="20"/>
        </w:rPr>
        <w:t>Keamanan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Lingkungan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(K3) </w:t>
      </w:r>
      <w:proofErr w:type="gramStart"/>
      <w:r w:rsidRPr="00735670">
        <w:rPr>
          <w:rFonts w:ascii="Arial" w:eastAsia="Times New Roman" w:hAnsi="Arial" w:cs="Times New Roman"/>
          <w:szCs w:val="20"/>
        </w:rPr>
        <w:t xml:space="preserve">dan  </w:t>
      </w:r>
      <w:proofErr w:type="spellStart"/>
      <w:r w:rsidRPr="00735670">
        <w:rPr>
          <w:rFonts w:ascii="Arial" w:eastAsia="Times New Roman" w:hAnsi="Arial" w:cs="Times New Roman"/>
          <w:szCs w:val="20"/>
        </w:rPr>
        <w:t>atau</w:t>
      </w:r>
      <w:proofErr w:type="spellEnd"/>
      <w:proofErr w:type="gramEnd"/>
      <w:r w:rsidRPr="00735670">
        <w:rPr>
          <w:rFonts w:ascii="Arial" w:eastAsia="Times New Roman" w:hAnsi="Arial" w:cs="Times New Roman"/>
          <w:szCs w:val="20"/>
        </w:rPr>
        <w:t xml:space="preserve"> Health, Safety dan Environment (HSE).</w:t>
      </w:r>
    </w:p>
    <w:p w14:paraId="2A2552D1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Formulir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dianggap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apabila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telah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ditanda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tangani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oleh Purchasing Manager.</w:t>
      </w:r>
    </w:p>
    <w:p w14:paraId="579F4945" w14:textId="1B0527A8" w:rsidR="00735670" w:rsidRPr="008347BC" w:rsidRDefault="00735670" w:rsidP="008347BC">
      <w:pPr>
        <w:widowControl/>
        <w:numPr>
          <w:ilvl w:val="1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Formulir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8347BC">
        <w:rPr>
          <w:rFonts w:ascii="Arial" w:eastAsia="Times New Roman" w:hAnsi="Arial" w:cs="Times New Roman"/>
          <w:szCs w:val="20"/>
        </w:rPr>
        <w:t>dia</w:t>
      </w:r>
      <w:r w:rsidRPr="008347BC">
        <w:rPr>
          <w:rFonts w:ascii="Arial" w:eastAsia="Times New Roman" w:hAnsi="Arial" w:cs="Times New Roman"/>
          <w:szCs w:val="20"/>
        </w:rPr>
        <w:t>rsip</w:t>
      </w:r>
      <w:proofErr w:type="spellEnd"/>
      <w:r w:rsidRPr="008347BC">
        <w:rPr>
          <w:rFonts w:ascii="Arial" w:eastAsia="Times New Roman" w:hAnsi="Arial" w:cs="Times New Roman"/>
          <w:szCs w:val="20"/>
        </w:rPr>
        <w:t xml:space="preserve"> </w:t>
      </w:r>
      <w:r w:rsidR="008347BC">
        <w:rPr>
          <w:rFonts w:ascii="Arial" w:eastAsia="Times New Roman" w:hAnsi="Arial" w:cs="Times New Roman"/>
          <w:szCs w:val="20"/>
        </w:rPr>
        <w:t xml:space="preserve">oleh </w:t>
      </w:r>
      <w:r w:rsidRPr="008347BC">
        <w:rPr>
          <w:rFonts w:ascii="Arial" w:eastAsia="Times New Roman" w:hAnsi="Arial" w:cs="Times New Roman"/>
          <w:szCs w:val="20"/>
        </w:rPr>
        <w:t>Bagian Purchasing.</w:t>
      </w:r>
    </w:p>
    <w:p w14:paraId="0885BB0D" w14:textId="14CAAF34" w:rsidR="00735670" w:rsidRPr="00FA7F8A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 w:rsidRPr="00FA7F8A">
        <w:rPr>
          <w:rFonts w:ascii="Arial" w:eastAsia="Times New Roman" w:hAnsi="Arial" w:cs="Times New Roman"/>
          <w:szCs w:val="20"/>
          <w:lang w:val="id-ID"/>
        </w:rPr>
        <w:t>Ketentuan atas hasil penilaian pemasok atau subkont diatur pada Lampiran Ketentuan terhadap Hasil Penilaian Pemasok.</w:t>
      </w:r>
    </w:p>
    <w:p w14:paraId="432C0114" w14:textId="77777777" w:rsidR="00735670" w:rsidRPr="007E34CE" w:rsidRDefault="00735670" w:rsidP="00735670">
      <w:pPr>
        <w:widowControl/>
        <w:tabs>
          <w:tab w:val="num" w:pos="4680"/>
        </w:tabs>
        <w:suppressAutoHyphens/>
        <w:autoSpaceDE/>
        <w:autoSpaceDN/>
        <w:spacing w:line="276" w:lineRule="auto"/>
        <w:ind w:left="117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68D1A89" w14:textId="4D014EE4" w:rsidR="00FA7F8A" w:rsidRPr="00CC4FFF" w:rsidRDefault="00693FE4" w:rsidP="00CC4FF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1DA7891A" w14:textId="77777777" w:rsidR="00FA7F8A" w:rsidRPr="00FA7F8A" w:rsidRDefault="00FA7F8A" w:rsidP="00FA7F8A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 w:rsidRPr="00FA7F8A">
        <w:rPr>
          <w:rFonts w:ascii="Arial" w:eastAsia="Times New Roman" w:hAnsi="Arial" w:cs="Times New Roman"/>
          <w:szCs w:val="20"/>
        </w:rPr>
        <w:t xml:space="preserve">Purchasing Manager </w:t>
      </w:r>
      <w:proofErr w:type="spellStart"/>
      <w:r w:rsidRPr="00FA7F8A">
        <w:rPr>
          <w:rFonts w:ascii="Arial" w:eastAsia="Times New Roman" w:hAnsi="Arial" w:cs="Times New Roman"/>
          <w:szCs w:val="20"/>
        </w:rPr>
        <w:t>bertanggung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jawab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proofErr w:type="gramStart"/>
      <w:r w:rsidRPr="00FA7F8A">
        <w:rPr>
          <w:rFonts w:ascii="Arial" w:eastAsia="Times New Roman" w:hAnsi="Arial" w:cs="Times New Roman"/>
          <w:szCs w:val="20"/>
        </w:rPr>
        <w:t>dalam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:</w:t>
      </w:r>
      <w:proofErr w:type="gramEnd"/>
    </w:p>
    <w:p w14:paraId="3F4369D6" w14:textId="77777777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FA7F8A">
        <w:rPr>
          <w:rFonts w:ascii="Arial" w:eastAsia="Times New Roman" w:hAnsi="Arial" w:cs="Times New Roman"/>
          <w:szCs w:val="20"/>
        </w:rPr>
        <w:t>Jalannya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prosedur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penilaian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kinerja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pemasok</w:t>
      </w:r>
      <w:proofErr w:type="spellEnd"/>
      <w:r w:rsidRPr="00FA7F8A">
        <w:rPr>
          <w:rFonts w:ascii="Arial" w:eastAsia="Times New Roman" w:hAnsi="Arial" w:cs="Times New Roman"/>
          <w:szCs w:val="20"/>
        </w:rPr>
        <w:t>.</w:t>
      </w:r>
    </w:p>
    <w:p w14:paraId="184003D9" w14:textId="77777777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FA7F8A">
        <w:rPr>
          <w:rFonts w:ascii="Arial" w:eastAsia="Times New Roman" w:hAnsi="Arial" w:cs="Times New Roman"/>
          <w:szCs w:val="20"/>
        </w:rPr>
        <w:t>Penandatangan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Formulir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penilaian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kinerja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pemasok</w:t>
      </w:r>
      <w:proofErr w:type="spellEnd"/>
      <w:r w:rsidRPr="00FA7F8A">
        <w:rPr>
          <w:rFonts w:ascii="Arial" w:eastAsia="Times New Roman" w:hAnsi="Arial" w:cs="Times New Roman"/>
          <w:szCs w:val="20"/>
        </w:rPr>
        <w:t>.</w:t>
      </w:r>
    </w:p>
    <w:p w14:paraId="06D62A6B" w14:textId="18FECD64" w:rsidR="00FA7F8A" w:rsidRDefault="008347BC" w:rsidP="00FA7F8A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Staf</w:t>
      </w:r>
      <w:r w:rsidR="00FA7F8A" w:rsidRPr="00FA7F8A">
        <w:rPr>
          <w:rFonts w:ascii="Arial" w:eastAsia="Times New Roman" w:hAnsi="Arial" w:cs="Times New Roman"/>
          <w:szCs w:val="20"/>
        </w:rPr>
        <w:t xml:space="preserve">f Purchasing </w:t>
      </w:r>
      <w:proofErr w:type="spellStart"/>
      <w:r w:rsidR="00FA7F8A" w:rsidRPr="00FA7F8A">
        <w:rPr>
          <w:rFonts w:ascii="Arial" w:eastAsia="Times New Roman" w:hAnsi="Arial" w:cs="Times New Roman"/>
          <w:szCs w:val="20"/>
        </w:rPr>
        <w:t>bertanggung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FA7F8A" w:rsidRPr="00FA7F8A">
        <w:rPr>
          <w:rFonts w:ascii="Arial" w:eastAsia="Times New Roman" w:hAnsi="Arial" w:cs="Times New Roman"/>
          <w:szCs w:val="20"/>
        </w:rPr>
        <w:t>jawab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proofErr w:type="gramStart"/>
      <w:r w:rsidR="00FA7F8A" w:rsidRPr="00FA7F8A">
        <w:rPr>
          <w:rFonts w:ascii="Arial" w:eastAsia="Times New Roman" w:hAnsi="Arial" w:cs="Times New Roman"/>
          <w:szCs w:val="20"/>
        </w:rPr>
        <w:t>dalam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:</w:t>
      </w:r>
      <w:proofErr w:type="gramEnd"/>
    </w:p>
    <w:p w14:paraId="2DB7C69C" w14:textId="021A4701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FA7F8A">
        <w:rPr>
          <w:rFonts w:ascii="Arial" w:eastAsia="Times New Roman" w:hAnsi="Arial" w:cs="Times New Roman"/>
          <w:szCs w:val="20"/>
        </w:rPr>
        <w:t>Pelaksanaan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penilaian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kinerja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pemasok</w:t>
      </w:r>
      <w:proofErr w:type="spellEnd"/>
    </w:p>
    <w:p w14:paraId="4A8E6D26" w14:textId="7AD2111C" w:rsidR="00A46834" w:rsidRDefault="00693FE4" w:rsidP="00795A5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419851A0" w14:textId="25E2B0A7" w:rsidR="00EC06CC" w:rsidRPr="00AD27F9" w:rsidRDefault="00F04E25" w:rsidP="00EC06CC">
      <w:pPr>
        <w:widowControl/>
        <w:suppressAutoHyphens/>
        <w:autoSpaceDE/>
        <w:autoSpaceDN/>
        <w:spacing w:line="276" w:lineRule="auto"/>
        <w:ind w:firstLine="720"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9523" w:dyaOrig="15759" w14:anchorId="28A6A0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621pt" o:ole="">
            <v:imagedata r:id="rId13" o:title=""/>
          </v:shape>
          <o:OLEObject Type="Embed" ProgID="Visio.Drawing.11" ShapeID="_x0000_i1025" DrawAspect="Content" ObjectID="_1813584789" r:id="rId14"/>
        </w:object>
      </w:r>
    </w:p>
    <w:p w14:paraId="0445550A" w14:textId="31D3EF98" w:rsidR="0084160A" w:rsidRPr="00A46834" w:rsidRDefault="00A46834" w:rsidP="00795A5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59379E">
        <w:trPr>
          <w:trHeight w:val="772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163405" w14:textId="77777777" w:rsidR="00BD5C67" w:rsidRDefault="00BD5C67" w:rsidP="00795A5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BB23632" w14:textId="3CE8910B" w:rsidR="00795A51" w:rsidRDefault="00795A51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dari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r w:rsidR="0059379E">
              <w:rPr>
                <w:rFonts w:ascii="Arial" w:hAnsi="Arial" w:cs="Arial"/>
                <w:iCs/>
              </w:rPr>
              <w:t>SCM</w:t>
            </w:r>
            <w:r w:rsidR="00FE54CA" w:rsidRPr="00FE54CA">
              <w:rPr>
                <w:rFonts w:ascii="Arial" w:hAnsi="Arial" w:cs="Arial"/>
                <w:iCs/>
              </w:rPr>
              <w:t xml:space="preserve">, </w:t>
            </w:r>
            <w:r w:rsidR="00D04E53">
              <w:rPr>
                <w:rFonts w:ascii="Arial" w:hAnsi="Arial" w:cs="Arial"/>
                <w:iCs/>
              </w:rPr>
              <w:t>QC</w:t>
            </w:r>
            <w:r w:rsidR="00FE54CA" w:rsidRPr="00FE54CA">
              <w:rPr>
                <w:rFonts w:ascii="Arial" w:hAnsi="Arial" w:cs="Arial"/>
                <w:iCs/>
              </w:rPr>
              <w:t xml:space="preserve">, HC&amp;GA, </w:t>
            </w:r>
          </w:p>
          <w:p w14:paraId="0CA92CB0" w14:textId="3F70447A" w:rsidR="00FE54CA" w:rsidRPr="00FE54CA" w:rsidRDefault="00795A51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</w:t>
            </w:r>
            <w:r w:rsidR="00FE54CA" w:rsidRPr="00FE54CA">
              <w:rPr>
                <w:rFonts w:ascii="Arial" w:hAnsi="Arial" w:cs="Arial"/>
                <w:iCs/>
              </w:rPr>
              <w:t>pakah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sudah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lengkap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sudah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maka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lanjutkan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proses no. </w:t>
            </w:r>
            <w:r>
              <w:rPr>
                <w:rFonts w:ascii="Arial" w:hAnsi="Arial" w:cs="Arial"/>
                <w:iCs/>
              </w:rPr>
              <w:t>7</w:t>
            </w:r>
            <w:r w:rsidR="00FE54CA" w:rsidRPr="00FE54CA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4</w:t>
            </w:r>
            <w:r w:rsidR="00FE54CA" w:rsidRPr="00FE54C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jika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tidak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proses no. </w:t>
            </w:r>
            <w:r>
              <w:rPr>
                <w:rFonts w:ascii="Arial" w:hAnsi="Arial" w:cs="Arial"/>
                <w:iCs/>
              </w:rPr>
              <w:t>7</w:t>
            </w:r>
            <w:r w:rsidR="00FE54CA" w:rsidRPr="00FE54CA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3</w:t>
            </w:r>
          </w:p>
          <w:p w14:paraId="51240A3E" w14:textId="5C718560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Melengkapi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kekurangan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FE54CA">
              <w:rPr>
                <w:rFonts w:ascii="Arial" w:hAnsi="Arial" w:cs="Arial"/>
                <w:iCs/>
              </w:rPr>
              <w:t>memperbaiki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ketidaksesuaian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QC, </w:t>
            </w:r>
            <w:r w:rsidR="0059379E">
              <w:rPr>
                <w:rFonts w:ascii="Arial" w:hAnsi="Arial" w:cs="Arial"/>
                <w:iCs/>
              </w:rPr>
              <w:t>SCM</w:t>
            </w:r>
            <w:r w:rsidRPr="00FE54CA">
              <w:rPr>
                <w:rFonts w:ascii="Arial" w:hAnsi="Arial" w:cs="Arial"/>
                <w:iCs/>
              </w:rPr>
              <w:t xml:space="preserve"> dan HC&amp;GA yang </w:t>
            </w:r>
            <w:proofErr w:type="spellStart"/>
            <w:r w:rsidRPr="00FE54CA">
              <w:rPr>
                <w:rFonts w:ascii="Arial" w:hAnsi="Arial" w:cs="Arial"/>
                <w:iCs/>
              </w:rPr>
              <w:t>diperlukan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untuk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>.</w:t>
            </w:r>
          </w:p>
          <w:p w14:paraId="6EA9D01A" w14:textId="77777777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Mengisi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formulir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kinerja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pemasok</w:t>
            </w:r>
            <w:proofErr w:type="spellEnd"/>
            <w:r w:rsidRPr="00FE54CA">
              <w:rPr>
                <w:rFonts w:ascii="Arial" w:hAnsi="Arial" w:cs="Arial"/>
                <w:iCs/>
              </w:rPr>
              <w:t>.</w:t>
            </w:r>
          </w:p>
          <w:p w14:paraId="03A15EA6" w14:textId="6B7B2659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r w:rsidRPr="00FE54CA">
              <w:rPr>
                <w:rFonts w:ascii="Arial" w:hAnsi="Arial" w:cs="Arial"/>
                <w:iCs/>
              </w:rPr>
              <w:t xml:space="preserve">Jika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terhadap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pemasok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dari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QC, </w:t>
            </w:r>
            <w:r w:rsidR="0059379E">
              <w:rPr>
                <w:rFonts w:ascii="Arial" w:hAnsi="Arial" w:cs="Arial"/>
                <w:iCs/>
              </w:rPr>
              <w:t>SCM</w:t>
            </w:r>
            <w:r w:rsidRPr="00FE54CA">
              <w:rPr>
                <w:rFonts w:ascii="Arial" w:hAnsi="Arial" w:cs="Arial"/>
                <w:iCs/>
              </w:rPr>
              <w:t xml:space="preserve"> dan HC&amp;GA </w:t>
            </w:r>
            <w:proofErr w:type="spellStart"/>
            <w:r w:rsidRPr="00FE54CA">
              <w:rPr>
                <w:rFonts w:ascii="Arial" w:hAnsi="Arial" w:cs="Arial"/>
                <w:iCs/>
              </w:rPr>
              <w:t>sudah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mencukupi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kebutuhan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oleh purchasing, </w:t>
            </w:r>
            <w:proofErr w:type="spellStart"/>
            <w:r w:rsidRPr="00FE54CA">
              <w:rPr>
                <w:rFonts w:ascii="Arial" w:hAnsi="Arial" w:cs="Arial"/>
                <w:iCs/>
              </w:rPr>
              <w:t>maka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dilanjutkan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proses no</w:t>
            </w:r>
            <w:r w:rsidR="00795A51">
              <w:rPr>
                <w:rFonts w:ascii="Arial" w:hAnsi="Arial" w:cs="Arial"/>
                <w:iCs/>
              </w:rPr>
              <w:t xml:space="preserve"> 7.7</w:t>
            </w:r>
            <w:r w:rsidRPr="00FE54C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E54CA">
              <w:rPr>
                <w:rFonts w:ascii="Arial" w:hAnsi="Arial" w:cs="Arial"/>
                <w:iCs/>
              </w:rPr>
              <w:t>jika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tidak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proses no. </w:t>
            </w:r>
            <w:r w:rsidR="00795A51">
              <w:rPr>
                <w:rFonts w:ascii="Arial" w:hAnsi="Arial" w:cs="Arial"/>
                <w:iCs/>
              </w:rPr>
              <w:t>7.6</w:t>
            </w:r>
          </w:p>
          <w:p w14:paraId="60B8BAAE" w14:textId="4914A7CC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Melengkapi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kekurangan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Pch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FE54CA">
              <w:rPr>
                <w:rFonts w:ascii="Arial" w:hAnsi="Arial" w:cs="Arial"/>
                <w:iCs/>
              </w:rPr>
              <w:t>meminta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kekurangan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bagian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QC, </w:t>
            </w:r>
            <w:r w:rsidR="00BA37C8">
              <w:rPr>
                <w:rFonts w:ascii="Arial" w:hAnsi="Arial" w:cs="Arial"/>
                <w:iCs/>
              </w:rPr>
              <w:t>SCM</w:t>
            </w:r>
            <w:r w:rsidRPr="00FE54CA">
              <w:rPr>
                <w:rFonts w:ascii="Arial" w:hAnsi="Arial" w:cs="Arial"/>
                <w:iCs/>
              </w:rPr>
              <w:t xml:space="preserve"> dan HC&amp;GA</w:t>
            </w:r>
          </w:p>
          <w:p w14:paraId="29DE7DC7" w14:textId="77777777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Menghitung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jumlah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atas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pemasok</w:t>
            </w:r>
            <w:proofErr w:type="spellEnd"/>
            <w:r w:rsidRPr="00FE54CA">
              <w:rPr>
                <w:rFonts w:ascii="Arial" w:hAnsi="Arial" w:cs="Arial"/>
                <w:iCs/>
              </w:rPr>
              <w:t>.</w:t>
            </w:r>
          </w:p>
          <w:p w14:paraId="578C0998" w14:textId="51975D25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r w:rsidRPr="00FE54CA">
              <w:rPr>
                <w:rFonts w:ascii="Arial" w:hAnsi="Arial" w:cs="Arial"/>
                <w:iCs/>
              </w:rPr>
              <w:t xml:space="preserve">Jika </w:t>
            </w:r>
            <w:proofErr w:type="spellStart"/>
            <w:r w:rsidRPr="00FE54CA">
              <w:rPr>
                <w:rFonts w:ascii="Arial" w:hAnsi="Arial" w:cs="Arial"/>
                <w:iCs/>
              </w:rPr>
              <w:t>perhitungan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oleh Purchasing </w:t>
            </w:r>
            <w:proofErr w:type="spellStart"/>
            <w:r w:rsidRPr="00FE54CA">
              <w:rPr>
                <w:rFonts w:ascii="Arial" w:hAnsi="Arial" w:cs="Arial"/>
                <w:iCs/>
              </w:rPr>
              <w:t>benar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FE54CA">
              <w:rPr>
                <w:rFonts w:ascii="Arial" w:hAnsi="Arial" w:cs="Arial"/>
                <w:iCs/>
              </w:rPr>
              <w:t>lengkap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E54CA">
              <w:rPr>
                <w:rFonts w:ascii="Arial" w:hAnsi="Arial" w:cs="Arial"/>
                <w:iCs/>
              </w:rPr>
              <w:t>maka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dilanjutkan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proses no. </w:t>
            </w:r>
            <w:r w:rsidR="00795A51">
              <w:rPr>
                <w:rFonts w:ascii="Arial" w:hAnsi="Arial" w:cs="Arial"/>
                <w:iCs/>
              </w:rPr>
              <w:t>7.10</w:t>
            </w:r>
            <w:r w:rsidRPr="00FE54C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E54CA">
              <w:rPr>
                <w:rFonts w:ascii="Arial" w:hAnsi="Arial" w:cs="Arial"/>
                <w:iCs/>
              </w:rPr>
              <w:t>jika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tidak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proses no </w:t>
            </w:r>
            <w:r w:rsidR="00795A51">
              <w:rPr>
                <w:rFonts w:ascii="Arial" w:hAnsi="Arial" w:cs="Arial"/>
                <w:iCs/>
              </w:rPr>
              <w:t>7.9</w:t>
            </w:r>
          </w:p>
          <w:p w14:paraId="3258DEF1" w14:textId="77777777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Melakukan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perbaikan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atas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kesalahan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perhitungan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pemasok</w:t>
            </w:r>
            <w:proofErr w:type="spellEnd"/>
            <w:r w:rsidRPr="00FE54CA">
              <w:rPr>
                <w:rFonts w:ascii="Arial" w:hAnsi="Arial" w:cs="Arial"/>
                <w:iCs/>
              </w:rPr>
              <w:t>.</w:t>
            </w:r>
          </w:p>
          <w:p w14:paraId="166D8B69" w14:textId="606DC811" w:rsidR="00FE54CA" w:rsidRPr="00FE54CA" w:rsidRDefault="00D04E53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</w:t>
            </w:r>
            <w:r w:rsidR="00FE54CA" w:rsidRPr="00FE54CA">
              <w:rPr>
                <w:rFonts w:ascii="Arial" w:hAnsi="Arial" w:cs="Arial"/>
                <w:iCs/>
              </w:rPr>
              <w:t xml:space="preserve">anda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tangan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hasil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gramStart"/>
            <w:r>
              <w:rPr>
                <w:rFonts w:ascii="Arial" w:hAnsi="Arial" w:cs="Arial"/>
                <w:iCs/>
              </w:rPr>
              <w:t xml:space="preserve">oleh </w:t>
            </w:r>
            <w:r w:rsidR="00FE54CA" w:rsidRPr="00FE54CA">
              <w:rPr>
                <w:rFonts w:ascii="Arial" w:hAnsi="Arial" w:cs="Arial"/>
                <w:iCs/>
              </w:rPr>
              <w:t xml:space="preserve"> Purchasing</w:t>
            </w:r>
            <w:proofErr w:type="gramEnd"/>
            <w:r w:rsidR="00FE54CA" w:rsidRPr="00FE54CA">
              <w:rPr>
                <w:rFonts w:ascii="Arial" w:hAnsi="Arial" w:cs="Arial"/>
                <w:iCs/>
              </w:rPr>
              <w:t xml:space="preserve"> Manager</w:t>
            </w:r>
            <w:r w:rsidR="008347BC">
              <w:rPr>
                <w:rFonts w:ascii="Arial" w:hAnsi="Arial" w:cs="Arial"/>
                <w:iCs/>
              </w:rPr>
              <w:t>.</w:t>
            </w:r>
          </w:p>
          <w:p w14:paraId="0389F60B" w14:textId="77777777" w:rsidR="00FE54CA" w:rsidRPr="00FE54CA" w:rsidRDefault="00FE54CA" w:rsidP="00795A51">
            <w:pPr>
              <w:pStyle w:val="TableParagraph"/>
              <w:tabs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b/>
                <w:iCs/>
              </w:rPr>
            </w:pPr>
          </w:p>
          <w:p w14:paraId="3C38FFE2" w14:textId="45884555" w:rsidR="00FE54CA" w:rsidRPr="00EE371A" w:rsidRDefault="00FE54CA" w:rsidP="00795A5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0E9837" w14:textId="77777777" w:rsidR="00A46834" w:rsidRDefault="00A46834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DE3800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1B13BFF6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9BEE67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346EB1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33E456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09193254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13E0532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B604923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25A488BE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74480DE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ABA975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6C6C8F7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BFD43E9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B75AEF0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6A4D1003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DAD9E8" w14:textId="01FA02A1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0BEF6253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FD2519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DB1DF31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BEE2E89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00BB09" w14:textId="5295F0CB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03782556" w14:textId="29907164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Purchasing</w:t>
            </w:r>
          </w:p>
          <w:p w14:paraId="46CE35FB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957086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78A125D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5BC547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49059EAB" w:rsidR="00D04E53" w:rsidRPr="00B90F67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7F821AF" w14:textId="77777777" w:rsidR="00A46834" w:rsidRDefault="00A46834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8ED460D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C85CE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AF4E45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B4B9F5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67A36FC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B626255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05EC5E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59CABF7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F31A69A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F84569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4832FD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D450EF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30131C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AABB5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F94C7C7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BA95B1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85965A7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181E74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01C057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FF8C4E2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A958013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F72FF81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9BF633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ACF4DF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236372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4338A1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767EC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C4CFB70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76204D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ECBB4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24D3CF4D" w:rsidR="00D04E53" w:rsidRPr="00B90F67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Maksimal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tanggal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20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periode</w:t>
            </w:r>
            <w:proofErr w:type="spellEnd"/>
          </w:p>
        </w:tc>
      </w:tr>
    </w:tbl>
    <w:p w14:paraId="4129457F" w14:textId="77777777" w:rsidR="00205495" w:rsidRDefault="00205495" w:rsidP="00795A51">
      <w:pPr>
        <w:pStyle w:val="Heading1"/>
        <w:jc w:val="both"/>
      </w:pPr>
    </w:p>
    <w:p w14:paraId="0CDA4B4B" w14:textId="4C7344E6" w:rsidR="0084160A" w:rsidRPr="006477E2" w:rsidRDefault="00205495" w:rsidP="00795A51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5A3D5349" w14:textId="15E34745" w:rsidR="003C385A" w:rsidRPr="003C385A" w:rsidRDefault="003C385A" w:rsidP="00F36FC2">
      <w:pPr>
        <w:widowControl/>
        <w:numPr>
          <w:ilvl w:val="1"/>
          <w:numId w:val="6"/>
        </w:numPr>
        <w:tabs>
          <w:tab w:val="clear" w:pos="757"/>
          <w:tab w:val="num" w:pos="900"/>
          <w:tab w:val="num" w:pos="4770"/>
        </w:tabs>
        <w:suppressAutoHyphens/>
        <w:autoSpaceDE/>
        <w:autoSpaceDN/>
        <w:ind w:left="810" w:hanging="450"/>
        <w:jc w:val="both"/>
      </w:pPr>
      <w:proofErr w:type="spellStart"/>
      <w:r w:rsidRPr="003C385A">
        <w:t>Apabila</w:t>
      </w:r>
      <w:proofErr w:type="spellEnd"/>
      <w:r w:rsidRPr="003C385A">
        <w:t xml:space="preserve"> </w:t>
      </w:r>
      <w:proofErr w:type="spellStart"/>
      <w:r w:rsidRPr="003C385A">
        <w:t>penilaian</w:t>
      </w:r>
      <w:proofErr w:type="spellEnd"/>
      <w:r w:rsidRPr="003C385A">
        <w:t xml:space="preserve"> </w:t>
      </w:r>
      <w:proofErr w:type="spellStart"/>
      <w:r w:rsidRPr="003C385A">
        <w:t>pemasok</w:t>
      </w:r>
      <w:proofErr w:type="spellEnd"/>
      <w:r w:rsidRPr="003C385A">
        <w:t xml:space="preserve"> </w:t>
      </w:r>
      <w:proofErr w:type="spellStart"/>
      <w:r w:rsidRPr="003C385A">
        <w:t>tidak</w:t>
      </w:r>
      <w:proofErr w:type="spellEnd"/>
      <w:r w:rsidRPr="003C385A">
        <w:t xml:space="preserve"> </w:t>
      </w:r>
      <w:proofErr w:type="spellStart"/>
      <w:r w:rsidRPr="003C385A">
        <w:t>terlaksana</w:t>
      </w:r>
      <w:proofErr w:type="spellEnd"/>
      <w:r w:rsidRPr="003C385A">
        <w:t xml:space="preserve"> </w:t>
      </w:r>
      <w:proofErr w:type="spellStart"/>
      <w:r w:rsidRPr="003C385A">
        <w:t>sesuai</w:t>
      </w:r>
      <w:proofErr w:type="spellEnd"/>
      <w:r w:rsidRPr="003C385A">
        <w:t xml:space="preserve"> </w:t>
      </w:r>
      <w:proofErr w:type="spellStart"/>
      <w:r w:rsidRPr="003C385A">
        <w:t>dengan</w:t>
      </w:r>
      <w:proofErr w:type="spellEnd"/>
      <w:r w:rsidRPr="003C385A">
        <w:t xml:space="preserve"> yang </w:t>
      </w:r>
      <w:proofErr w:type="spellStart"/>
      <w:r w:rsidRPr="003C385A">
        <w:t>ditentukan</w:t>
      </w:r>
      <w:proofErr w:type="spellEnd"/>
      <w:r w:rsidRPr="003C385A">
        <w:t xml:space="preserve">, </w:t>
      </w:r>
      <w:proofErr w:type="spellStart"/>
      <w:r w:rsidRPr="003C385A">
        <w:t>maka</w:t>
      </w:r>
      <w:proofErr w:type="spellEnd"/>
      <w:r w:rsidRPr="003C385A">
        <w:t xml:space="preserve"> </w:t>
      </w:r>
      <w:proofErr w:type="spellStart"/>
      <w:r w:rsidRPr="003C385A">
        <w:t>penilaian</w:t>
      </w:r>
      <w:proofErr w:type="spellEnd"/>
      <w:r w:rsidRPr="003C385A">
        <w:t xml:space="preserve"> yang </w:t>
      </w:r>
      <w:proofErr w:type="spellStart"/>
      <w:r w:rsidRPr="003C385A">
        <w:t>sebelumnya</w:t>
      </w:r>
      <w:proofErr w:type="spellEnd"/>
      <w:r w:rsidRPr="003C385A">
        <w:t xml:space="preserve"> </w:t>
      </w:r>
      <w:proofErr w:type="spellStart"/>
      <w:r w:rsidRPr="003C385A">
        <w:t>dapat</w:t>
      </w:r>
      <w:proofErr w:type="spellEnd"/>
      <w:r w:rsidRPr="003C385A">
        <w:t xml:space="preserve"> </w:t>
      </w:r>
      <w:proofErr w:type="spellStart"/>
      <w:r w:rsidRPr="003C385A">
        <w:t>dimanfaatkan</w:t>
      </w:r>
      <w:proofErr w:type="spellEnd"/>
      <w:r w:rsidRPr="003C385A">
        <w:t>/</w:t>
      </w:r>
      <w:proofErr w:type="spellStart"/>
      <w:r w:rsidRPr="003C385A">
        <w:t>digunakan</w:t>
      </w:r>
      <w:proofErr w:type="spellEnd"/>
      <w:r w:rsidRPr="003C385A">
        <w:t>.</w:t>
      </w:r>
    </w:p>
    <w:p w14:paraId="77D6450D" w14:textId="7DB0F4CD" w:rsidR="006477E2" w:rsidRPr="006477E2" w:rsidRDefault="006477E2" w:rsidP="003C385A">
      <w:pPr>
        <w:widowControl/>
        <w:tabs>
          <w:tab w:val="num" w:pos="4770"/>
        </w:tabs>
        <w:suppressAutoHyphens/>
        <w:autoSpaceDE/>
        <w:autoSpaceDN/>
        <w:ind w:left="99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1E778E55" w14:textId="77777777" w:rsidR="00B75566" w:rsidRPr="003526E0" w:rsidRDefault="00B75566" w:rsidP="00B75566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  <w:proofErr w:type="spellStart"/>
      <w:r w:rsidRPr="003526E0">
        <w:rPr>
          <w:rFonts w:ascii="Tahoma" w:hAnsi="Tahoma"/>
        </w:rPr>
        <w:t>Penilaian</w:t>
      </w:r>
      <w:proofErr w:type="spellEnd"/>
      <w:r w:rsidRPr="003526E0">
        <w:rPr>
          <w:rFonts w:ascii="Tahoma" w:hAnsi="Tahoma"/>
        </w:rPr>
        <w:t xml:space="preserve"> Kinerja </w:t>
      </w:r>
      <w:proofErr w:type="spellStart"/>
      <w:r w:rsidRPr="003526E0">
        <w:rPr>
          <w:rFonts w:ascii="Tahoma" w:hAnsi="Tahoma"/>
        </w:rPr>
        <w:t>Pemasok</w:t>
      </w:r>
      <w:proofErr w:type="spellEnd"/>
      <w:r w:rsidRPr="003526E0">
        <w:rPr>
          <w:rFonts w:ascii="Tahoma" w:hAnsi="Tahoma"/>
        </w:rPr>
        <w:t xml:space="preserve"> dan </w:t>
      </w:r>
      <w:proofErr w:type="spellStart"/>
      <w:r w:rsidRPr="003526E0">
        <w:rPr>
          <w:rFonts w:ascii="Tahoma" w:hAnsi="Tahoma"/>
        </w:rPr>
        <w:t>Subkontraktor</w:t>
      </w:r>
      <w:proofErr w:type="spellEnd"/>
      <w:r w:rsidRPr="003526E0">
        <w:rPr>
          <w:rFonts w:ascii="Tahoma" w:hAnsi="Tahoma"/>
        </w:rPr>
        <w:t xml:space="preserve"> </w:t>
      </w:r>
      <w:proofErr w:type="spellStart"/>
      <w:r w:rsidRPr="003526E0">
        <w:rPr>
          <w:rFonts w:ascii="Tahoma" w:hAnsi="Tahoma"/>
        </w:rPr>
        <w:t>dari</w:t>
      </w:r>
      <w:proofErr w:type="spellEnd"/>
      <w:r w:rsidRPr="003526E0">
        <w:rPr>
          <w:rFonts w:ascii="Tahoma" w:hAnsi="Tahoma"/>
        </w:rPr>
        <w:t xml:space="preserve"> PPIC.</w:t>
      </w:r>
    </w:p>
    <w:p w14:paraId="6B9C15B6" w14:textId="77777777" w:rsidR="00B75566" w:rsidRPr="003526E0" w:rsidRDefault="00B75566" w:rsidP="00B75566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  <w:r w:rsidRPr="003526E0">
        <w:rPr>
          <w:rFonts w:ascii="Tahoma" w:hAnsi="Tahoma"/>
        </w:rPr>
        <w:t xml:space="preserve">Lembar </w:t>
      </w:r>
      <w:proofErr w:type="spellStart"/>
      <w:r w:rsidRPr="003526E0">
        <w:rPr>
          <w:rFonts w:ascii="Tahoma" w:hAnsi="Tahoma"/>
        </w:rPr>
        <w:t>Penilaian</w:t>
      </w:r>
      <w:proofErr w:type="spellEnd"/>
      <w:r w:rsidRPr="003526E0">
        <w:rPr>
          <w:rFonts w:ascii="Tahoma" w:hAnsi="Tahoma"/>
        </w:rPr>
        <w:t xml:space="preserve"> Kinerja </w:t>
      </w:r>
      <w:proofErr w:type="spellStart"/>
      <w:r w:rsidRPr="003526E0">
        <w:rPr>
          <w:rFonts w:ascii="Tahoma" w:hAnsi="Tahoma"/>
        </w:rPr>
        <w:t>Pemasok</w:t>
      </w:r>
      <w:proofErr w:type="spellEnd"/>
      <w:r w:rsidRPr="003526E0">
        <w:rPr>
          <w:rFonts w:ascii="Tahoma" w:hAnsi="Tahoma"/>
        </w:rPr>
        <w:t xml:space="preserve">/Sub </w:t>
      </w:r>
      <w:proofErr w:type="spellStart"/>
      <w:r w:rsidRPr="003526E0">
        <w:rPr>
          <w:rFonts w:ascii="Tahoma" w:hAnsi="Tahoma"/>
        </w:rPr>
        <w:t>Kontraktor</w:t>
      </w:r>
      <w:proofErr w:type="spellEnd"/>
      <w:r w:rsidRPr="003526E0">
        <w:rPr>
          <w:rFonts w:ascii="Tahoma" w:hAnsi="Tahoma"/>
        </w:rPr>
        <w:t xml:space="preserve"> (LPKPS) </w:t>
      </w:r>
      <w:proofErr w:type="spellStart"/>
      <w:r w:rsidRPr="003526E0">
        <w:rPr>
          <w:rFonts w:ascii="Tahoma" w:hAnsi="Tahoma"/>
        </w:rPr>
        <w:t>dari</w:t>
      </w:r>
      <w:proofErr w:type="spellEnd"/>
      <w:r w:rsidRPr="003526E0">
        <w:rPr>
          <w:rFonts w:ascii="Tahoma" w:hAnsi="Tahoma"/>
        </w:rPr>
        <w:t xml:space="preserve"> QC</w:t>
      </w:r>
    </w:p>
    <w:p w14:paraId="5DF9E838" w14:textId="77777777" w:rsidR="00B75566" w:rsidRDefault="00B75566" w:rsidP="00B75566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  <w:proofErr w:type="spellStart"/>
      <w:r w:rsidRPr="003526E0">
        <w:rPr>
          <w:rFonts w:ascii="Tahoma" w:hAnsi="Tahoma"/>
        </w:rPr>
        <w:t>Laporan</w:t>
      </w:r>
      <w:proofErr w:type="spellEnd"/>
      <w:r w:rsidRPr="003526E0">
        <w:rPr>
          <w:rFonts w:ascii="Tahoma" w:hAnsi="Tahoma"/>
        </w:rPr>
        <w:t xml:space="preserve"> </w:t>
      </w:r>
      <w:proofErr w:type="spellStart"/>
      <w:r w:rsidRPr="003526E0">
        <w:rPr>
          <w:rFonts w:ascii="Tahoma" w:hAnsi="Tahoma"/>
        </w:rPr>
        <w:t>Penilaian</w:t>
      </w:r>
      <w:proofErr w:type="spellEnd"/>
      <w:r w:rsidRPr="003526E0">
        <w:rPr>
          <w:rFonts w:ascii="Tahoma" w:hAnsi="Tahoma"/>
        </w:rPr>
        <w:t xml:space="preserve"> </w:t>
      </w:r>
      <w:proofErr w:type="spellStart"/>
      <w:r w:rsidRPr="003526E0">
        <w:rPr>
          <w:rFonts w:ascii="Tahoma" w:hAnsi="Tahoma"/>
        </w:rPr>
        <w:t>Pemasok</w:t>
      </w:r>
      <w:proofErr w:type="spellEnd"/>
      <w:r w:rsidRPr="003526E0">
        <w:rPr>
          <w:rFonts w:ascii="Tahoma" w:hAnsi="Tahoma"/>
        </w:rPr>
        <w:t xml:space="preserve"> </w:t>
      </w:r>
      <w:proofErr w:type="spellStart"/>
      <w:r w:rsidRPr="003526E0">
        <w:rPr>
          <w:rFonts w:ascii="Tahoma" w:hAnsi="Tahoma"/>
        </w:rPr>
        <w:t>dari</w:t>
      </w:r>
      <w:proofErr w:type="spellEnd"/>
      <w:r w:rsidRPr="003526E0">
        <w:rPr>
          <w:rFonts w:ascii="Tahoma" w:hAnsi="Tahoma"/>
        </w:rPr>
        <w:t xml:space="preserve"> HC&amp;GA</w:t>
      </w:r>
    </w:p>
    <w:p w14:paraId="2B393C8B" w14:textId="0469F6CF" w:rsidR="00623966" w:rsidRPr="00623966" w:rsidRDefault="00623966" w:rsidP="00623966">
      <w:pPr>
        <w:widowControl/>
        <w:numPr>
          <w:ilvl w:val="1"/>
          <w:numId w:val="6"/>
        </w:numPr>
        <w:tabs>
          <w:tab w:val="num" w:pos="1080"/>
          <w:tab w:val="num" w:pos="477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052040">
        <w:rPr>
          <w:rFonts w:ascii="Arial" w:eastAsia="Times New Roman" w:hAnsi="Arial" w:cs="Times New Roman"/>
          <w:szCs w:val="20"/>
        </w:rPr>
        <w:t>Formulir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052040">
        <w:rPr>
          <w:rFonts w:ascii="Arial" w:eastAsia="Times New Roman" w:hAnsi="Arial" w:cs="Times New Roman"/>
          <w:szCs w:val="20"/>
        </w:rPr>
        <w:t>Penilaian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052040">
        <w:rPr>
          <w:rFonts w:ascii="Arial" w:eastAsia="Times New Roman" w:hAnsi="Arial" w:cs="Times New Roman"/>
          <w:szCs w:val="20"/>
        </w:rPr>
        <w:t>Pemasok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</w:t>
      </w:r>
      <w:proofErr w:type="gramStart"/>
      <w:r w:rsidRPr="00052040">
        <w:rPr>
          <w:rFonts w:ascii="Arial" w:eastAsia="Times New Roman" w:hAnsi="Arial" w:cs="Times New Roman"/>
          <w:szCs w:val="20"/>
        </w:rPr>
        <w:t>( FPKP</w:t>
      </w:r>
      <w:proofErr w:type="gramEnd"/>
      <w:r w:rsidRPr="00052040">
        <w:rPr>
          <w:rFonts w:ascii="Arial" w:eastAsia="Times New Roman" w:hAnsi="Arial" w:cs="Times New Roman"/>
          <w:szCs w:val="20"/>
        </w:rPr>
        <w:t xml:space="preserve"> )</w:t>
      </w:r>
    </w:p>
    <w:p w14:paraId="183871A4" w14:textId="77777777" w:rsidR="00B75566" w:rsidRPr="00B75566" w:rsidRDefault="00B75566" w:rsidP="00B75566">
      <w:pPr>
        <w:widowControl/>
        <w:suppressAutoHyphens/>
        <w:autoSpaceDE/>
        <w:autoSpaceDN/>
        <w:ind w:left="757"/>
        <w:jc w:val="both"/>
        <w:rPr>
          <w:rFonts w:ascii="Tahoma" w:hAnsi="Tahoma"/>
        </w:rPr>
      </w:pPr>
    </w:p>
    <w:p w14:paraId="667590F4" w14:textId="65AD590D" w:rsidR="001A0CF0" w:rsidRPr="00EB6005" w:rsidRDefault="001A0CF0" w:rsidP="00EB600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63C1B444" w14:textId="77777777" w:rsidR="00623966" w:rsidRDefault="00623966" w:rsidP="00623966">
      <w:pPr>
        <w:widowControl/>
        <w:numPr>
          <w:ilvl w:val="1"/>
          <w:numId w:val="6"/>
        </w:numPr>
        <w:tabs>
          <w:tab w:val="num" w:pos="1080"/>
          <w:tab w:val="num" w:pos="477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szCs w:val="20"/>
        </w:rPr>
      </w:pPr>
      <w:r w:rsidRPr="00623966">
        <w:rPr>
          <w:rFonts w:ascii="Tahoma" w:hAnsi="Tahoma"/>
          <w:lang w:val="id-ID"/>
        </w:rPr>
        <w:t xml:space="preserve">Standard </w:t>
      </w:r>
      <w:proofErr w:type="spellStart"/>
      <w:r w:rsidRPr="00623966">
        <w:rPr>
          <w:rFonts w:ascii="Tahoma" w:hAnsi="Tahoma"/>
        </w:rPr>
        <w:t>Penilaian</w:t>
      </w:r>
      <w:proofErr w:type="spellEnd"/>
      <w:r w:rsidRPr="00623966">
        <w:rPr>
          <w:rFonts w:ascii="Tahoma" w:hAnsi="Tahoma"/>
        </w:rPr>
        <w:t xml:space="preserve"> Kinerja </w:t>
      </w:r>
      <w:proofErr w:type="spellStart"/>
      <w:r w:rsidRPr="00623966">
        <w:rPr>
          <w:rFonts w:ascii="Tahoma" w:hAnsi="Tahoma"/>
        </w:rPr>
        <w:t>Pemasok</w:t>
      </w:r>
      <w:proofErr w:type="spellEnd"/>
    </w:p>
    <w:p w14:paraId="3CA66E2C" w14:textId="77777777" w:rsidR="00623966" w:rsidRDefault="00623966" w:rsidP="00623966">
      <w:pPr>
        <w:widowControl/>
        <w:numPr>
          <w:ilvl w:val="1"/>
          <w:numId w:val="6"/>
        </w:numPr>
        <w:tabs>
          <w:tab w:val="num" w:pos="1080"/>
          <w:tab w:val="num" w:pos="477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szCs w:val="20"/>
        </w:rPr>
      </w:pPr>
      <w:r w:rsidRPr="00623966">
        <w:rPr>
          <w:rFonts w:ascii="Tahoma" w:hAnsi="Tahoma"/>
          <w:lang w:val="id-ID"/>
        </w:rPr>
        <w:t>Daftar Pemasok dan Sub Kontraktor</w:t>
      </w:r>
    </w:p>
    <w:p w14:paraId="458EAFEC" w14:textId="5FFB0973" w:rsidR="00623966" w:rsidRPr="00623966" w:rsidRDefault="00623966" w:rsidP="00623966">
      <w:pPr>
        <w:widowControl/>
        <w:numPr>
          <w:ilvl w:val="1"/>
          <w:numId w:val="6"/>
        </w:numPr>
        <w:tabs>
          <w:tab w:val="num" w:pos="1080"/>
          <w:tab w:val="num" w:pos="477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szCs w:val="20"/>
        </w:rPr>
      </w:pPr>
      <w:r w:rsidRPr="00623966">
        <w:rPr>
          <w:rFonts w:ascii="Tahoma" w:hAnsi="Tahoma"/>
          <w:lang w:val="id-ID"/>
        </w:rPr>
        <w:t>Ketentuan terhadap Hasil Penilaian Kinerja Pemasok</w:t>
      </w:r>
    </w:p>
    <w:p w14:paraId="1D3E4883" w14:textId="77777777" w:rsidR="003526E0" w:rsidRPr="001A0CF0" w:rsidRDefault="003526E0" w:rsidP="003526E0">
      <w:pPr>
        <w:widowControl/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</w:p>
    <w:p w14:paraId="2D8731F9" w14:textId="5C4D0232" w:rsidR="0084160A" w:rsidRPr="00EB6005" w:rsidRDefault="001A0CF0" w:rsidP="00EB600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CB4ABCA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r w:rsidRPr="00EB6005">
        <w:t xml:space="preserve">Manual </w:t>
      </w:r>
      <w:proofErr w:type="spellStart"/>
      <w:r w:rsidRPr="00EB6005">
        <w:t>Sistem</w:t>
      </w:r>
      <w:proofErr w:type="spellEnd"/>
      <w:r w:rsidRPr="00EB6005">
        <w:t xml:space="preserve"> </w:t>
      </w:r>
      <w:proofErr w:type="spellStart"/>
      <w:r w:rsidRPr="00EB6005">
        <w:t>Manajemen</w:t>
      </w:r>
      <w:proofErr w:type="spellEnd"/>
      <w:r w:rsidRPr="00EB6005">
        <w:t xml:space="preserve"> </w:t>
      </w:r>
      <w:proofErr w:type="spellStart"/>
      <w:r w:rsidRPr="00EB6005">
        <w:t>Terintegrasi</w:t>
      </w:r>
      <w:proofErr w:type="spellEnd"/>
      <w:r w:rsidRPr="00EB6005">
        <w:t xml:space="preserve"> PT. CINT</w:t>
      </w:r>
    </w:p>
    <w:p w14:paraId="2A2F341C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r w:rsidRPr="00EB6005">
        <w:t xml:space="preserve">ISO </w:t>
      </w:r>
      <w:proofErr w:type="gramStart"/>
      <w:r w:rsidRPr="00EB6005">
        <w:t>9001 :</w:t>
      </w:r>
      <w:proofErr w:type="gramEnd"/>
      <w:r w:rsidRPr="00EB6005">
        <w:t xml:space="preserve"> 2015 </w:t>
      </w:r>
      <w:proofErr w:type="spellStart"/>
      <w:r w:rsidRPr="00EB6005">
        <w:t>Elemen</w:t>
      </w:r>
      <w:proofErr w:type="spellEnd"/>
      <w:r w:rsidRPr="00EB6005">
        <w:t xml:space="preserve"> 8.4. </w:t>
      </w:r>
      <w:proofErr w:type="spellStart"/>
      <w:r w:rsidRPr="00EB6005">
        <w:t>Pengendalian</w:t>
      </w:r>
      <w:proofErr w:type="spellEnd"/>
      <w:r w:rsidRPr="00EB6005">
        <w:t xml:space="preserve"> </w:t>
      </w:r>
      <w:proofErr w:type="spellStart"/>
      <w:r w:rsidRPr="00EB6005">
        <w:t>produk</w:t>
      </w:r>
      <w:proofErr w:type="spellEnd"/>
      <w:r w:rsidRPr="00EB6005">
        <w:t xml:space="preserve"> dan </w:t>
      </w:r>
      <w:proofErr w:type="spellStart"/>
      <w:r w:rsidRPr="00EB6005">
        <w:t>layanan</w:t>
      </w:r>
      <w:proofErr w:type="spellEnd"/>
      <w:r w:rsidRPr="00EB6005">
        <w:t xml:space="preserve"> </w:t>
      </w:r>
      <w:proofErr w:type="spellStart"/>
      <w:r w:rsidRPr="00EB6005">
        <w:t>eksternal</w:t>
      </w:r>
      <w:proofErr w:type="spellEnd"/>
      <w:r w:rsidRPr="00EB6005">
        <w:t xml:space="preserve"> yang </w:t>
      </w:r>
      <w:proofErr w:type="spellStart"/>
      <w:r w:rsidRPr="00EB6005">
        <w:t>disediakan</w:t>
      </w:r>
      <w:proofErr w:type="spellEnd"/>
      <w:r w:rsidRPr="00EB6005">
        <w:t xml:space="preserve"> </w:t>
      </w:r>
      <w:r w:rsidRPr="00EB6005">
        <w:rPr>
          <w:i/>
        </w:rPr>
        <w:t>(</w:t>
      </w:r>
      <w:r w:rsidRPr="00EB6005">
        <w:rPr>
          <w:bCs/>
          <w:i/>
          <w:iCs/>
        </w:rPr>
        <w:t>Control of externally provided products and services)</w:t>
      </w:r>
    </w:p>
    <w:p w14:paraId="6FEEEAD7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EB6005">
        <w:t>Prosedur</w:t>
      </w:r>
      <w:proofErr w:type="spellEnd"/>
      <w:r w:rsidRPr="00EB6005">
        <w:t xml:space="preserve"> </w:t>
      </w:r>
      <w:proofErr w:type="spellStart"/>
      <w:r w:rsidRPr="00EB6005">
        <w:t>Pembelian</w:t>
      </w:r>
      <w:proofErr w:type="spellEnd"/>
    </w:p>
    <w:p w14:paraId="3BB41DB0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EB6005">
        <w:t>Permenkes</w:t>
      </w:r>
      <w:proofErr w:type="spellEnd"/>
      <w:r w:rsidRPr="00EB6005">
        <w:t xml:space="preserve"> No. 20 </w:t>
      </w:r>
      <w:proofErr w:type="spellStart"/>
      <w:r w:rsidRPr="00EB6005">
        <w:t>tahun</w:t>
      </w:r>
      <w:proofErr w:type="spellEnd"/>
      <w:r w:rsidRPr="00EB6005">
        <w:t xml:space="preserve"> </w:t>
      </w:r>
      <w:proofErr w:type="gramStart"/>
      <w:r w:rsidRPr="00EB6005">
        <w:t>2017 :</w:t>
      </w:r>
      <w:proofErr w:type="gramEnd"/>
      <w:r w:rsidRPr="00EB6005">
        <w:t xml:space="preserve"> Cara </w:t>
      </w:r>
      <w:proofErr w:type="spellStart"/>
      <w:r w:rsidRPr="00EB6005">
        <w:t>Pembuatan</w:t>
      </w:r>
      <w:proofErr w:type="spellEnd"/>
      <w:r w:rsidRPr="00EB6005">
        <w:t xml:space="preserve"> Alat Kesehatan dan </w:t>
      </w:r>
      <w:proofErr w:type="spellStart"/>
      <w:r w:rsidRPr="00EB6005">
        <w:t>Perbekalan</w:t>
      </w:r>
      <w:proofErr w:type="spellEnd"/>
      <w:r w:rsidRPr="00EB6005">
        <w:t xml:space="preserve"> </w:t>
      </w:r>
      <w:proofErr w:type="spellStart"/>
      <w:r w:rsidRPr="00EB6005">
        <w:t>kesehatan</w:t>
      </w:r>
      <w:proofErr w:type="spellEnd"/>
      <w:r w:rsidRPr="00EB6005">
        <w:t xml:space="preserve"> Rumah </w:t>
      </w:r>
      <w:proofErr w:type="spellStart"/>
      <w:r w:rsidRPr="00EB6005">
        <w:t>Tangga</w:t>
      </w:r>
      <w:proofErr w:type="spellEnd"/>
      <w:r w:rsidRPr="00EB6005">
        <w:t xml:space="preserve"> yang </w:t>
      </w:r>
      <w:proofErr w:type="spellStart"/>
      <w:r w:rsidRPr="00EB6005">
        <w:t>baik</w:t>
      </w:r>
      <w:proofErr w:type="spellEnd"/>
      <w:r w:rsidRPr="00EB6005">
        <w:t>.</w:t>
      </w:r>
    </w:p>
    <w:p w14:paraId="4C934897" w14:textId="0ED3A4E3" w:rsidR="009E1201" w:rsidRDefault="009E1201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02A3E320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765F2291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27D23D52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27FBE30E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5F765FD0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3CF13D52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2623E011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432FA8D9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7BE39EDB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785AC661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45333B0A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3EB52BB9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0F5136E8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4EAA8E84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6FC20BDF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12D25C9F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1FF38BE0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75216EE1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1D8FF8ED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2F2B86F6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7D918BA9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69ED9664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1E40F9BA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0097F584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3859D0C9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14E551AB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4FD9159C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7B2267E0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56F1FBF5" w14:textId="77777777" w:rsidR="00847612" w:rsidRDefault="00847612" w:rsidP="00847612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  <w:r>
        <w:rPr>
          <w:b/>
          <w:bCs/>
        </w:rPr>
        <w:t xml:space="preserve">Lampiran 10.1 </w:t>
      </w:r>
    </w:p>
    <w:p w14:paraId="2F558BFD" w14:textId="77777777" w:rsidR="00285642" w:rsidRDefault="00285642" w:rsidP="00847612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</w:p>
    <w:p w14:paraId="520EC699" w14:textId="144AA834" w:rsidR="00847612" w:rsidRDefault="00285642" w:rsidP="006307E6">
      <w:pPr>
        <w:widowControl/>
        <w:tabs>
          <w:tab w:val="num" w:pos="4860"/>
        </w:tabs>
        <w:suppressAutoHyphens/>
        <w:autoSpaceDE/>
        <w:autoSpaceDN/>
        <w:jc w:val="both"/>
      </w:pPr>
      <w:r w:rsidRPr="00285642">
        <w:drawing>
          <wp:inline distT="0" distB="0" distL="0" distR="0" wp14:anchorId="2C60BA74" wp14:editId="0725EE42">
            <wp:extent cx="6013450" cy="6579532"/>
            <wp:effectExtent l="0" t="0" r="6350" b="0"/>
            <wp:docPr id="20807021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332" cy="658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5C22E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2B5A62A3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0720900A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20083FB0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059575BB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32FFC1D6" w14:textId="77777777" w:rsidR="006307E6" w:rsidRDefault="006307E6" w:rsidP="006307E6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7B50A759" w14:textId="77777777" w:rsidR="00285642" w:rsidRDefault="00285642" w:rsidP="006307E6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</w:p>
    <w:p w14:paraId="547C0646" w14:textId="77777777" w:rsidR="00285642" w:rsidRDefault="00285642" w:rsidP="006307E6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</w:p>
    <w:p w14:paraId="6A545512" w14:textId="60310AE6" w:rsidR="00847612" w:rsidRDefault="00847612" w:rsidP="006307E6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  <w:r>
        <w:rPr>
          <w:b/>
          <w:bCs/>
        </w:rPr>
        <w:t>Lampiran 10.2</w:t>
      </w:r>
    </w:p>
    <w:p w14:paraId="47BF26D2" w14:textId="77777777" w:rsidR="00946DFE" w:rsidRDefault="00946DFE" w:rsidP="006307E6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</w:p>
    <w:p w14:paraId="7D2CB5A1" w14:textId="4628E89F" w:rsidR="006307E6" w:rsidRDefault="00946DFE" w:rsidP="006307E6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  <w:r w:rsidRPr="00946DFE">
        <w:rPr>
          <w:noProof/>
        </w:rPr>
        <w:drawing>
          <wp:inline distT="0" distB="0" distL="0" distR="0" wp14:anchorId="4A3725A5" wp14:editId="15750AB8">
            <wp:extent cx="5130800" cy="7435850"/>
            <wp:effectExtent l="0" t="0" r="0" b="0"/>
            <wp:docPr id="9027242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743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BFE33" w14:textId="77777777" w:rsidR="00847612" w:rsidRPr="00847612" w:rsidRDefault="00847612" w:rsidP="006307E6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</w:p>
    <w:p w14:paraId="5AF6551E" w14:textId="77777777" w:rsidR="00946DFE" w:rsidRDefault="00946DFE" w:rsidP="00847612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</w:p>
    <w:p w14:paraId="398158DF" w14:textId="77777777" w:rsidR="00946DFE" w:rsidRDefault="00946DFE" w:rsidP="00847612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</w:p>
    <w:p w14:paraId="7A681B4C" w14:textId="372C4C8C" w:rsidR="00847612" w:rsidRDefault="006307E6" w:rsidP="00847612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  <w:r>
        <w:rPr>
          <w:b/>
          <w:bCs/>
        </w:rPr>
        <w:t>L</w:t>
      </w:r>
      <w:r w:rsidR="00847612">
        <w:rPr>
          <w:b/>
          <w:bCs/>
        </w:rPr>
        <w:t>ampiran 10.3</w:t>
      </w:r>
    </w:p>
    <w:p w14:paraId="326231E9" w14:textId="77777777" w:rsidR="00847612" w:rsidRDefault="00847612" w:rsidP="00847612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</w:p>
    <w:p w14:paraId="0A356F53" w14:textId="77777777" w:rsidR="00847612" w:rsidRPr="00BE46B3" w:rsidRDefault="00847612" w:rsidP="00847612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t>KETENTUAN TERHADAP HASIL PENILAIAN KINERJA PEMASOK.</w:t>
      </w:r>
    </w:p>
    <w:p w14:paraId="3EFC6B77" w14:textId="77777777" w:rsidR="00847612" w:rsidRDefault="00847612" w:rsidP="00847612">
      <w:pPr>
        <w:pStyle w:val="Default"/>
        <w:jc w:val="both"/>
        <w:rPr>
          <w:rFonts w:ascii="Arial" w:hAnsi="Arial"/>
          <w:sz w:val="22"/>
          <w:lang w:val="id-ID"/>
        </w:rPr>
      </w:pPr>
    </w:p>
    <w:p w14:paraId="74B3836D" w14:textId="77777777" w:rsidR="00847612" w:rsidRDefault="00847612" w:rsidP="00847612">
      <w:pPr>
        <w:pStyle w:val="Default"/>
        <w:numPr>
          <w:ilvl w:val="0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Pemasok dan Subkont dengan hasil penilaian baik dari semua kriteria selama periode penilaian maka bagian purchasing akan terus  mempertahankan/meningkatkan kerjasama dengan kemungkinan menambah tipe produk, menambah kuantiti order pada pembagian Pembelian bahan baku disesuaikan dengan kebutuhan pembelian bahan baku.</w:t>
      </w:r>
    </w:p>
    <w:p w14:paraId="25C5EC94" w14:textId="77777777" w:rsidR="00847612" w:rsidRDefault="00847612" w:rsidP="00847612">
      <w:pPr>
        <w:pStyle w:val="Default"/>
        <w:ind w:left="720"/>
        <w:jc w:val="both"/>
        <w:rPr>
          <w:rFonts w:ascii="Arial" w:hAnsi="Arial"/>
          <w:sz w:val="22"/>
          <w:lang w:val="id-ID"/>
        </w:rPr>
      </w:pPr>
    </w:p>
    <w:p w14:paraId="3511A689" w14:textId="5721E6FC" w:rsidR="00847612" w:rsidRDefault="00847612" w:rsidP="00847612">
      <w:pPr>
        <w:pStyle w:val="Default"/>
        <w:numPr>
          <w:ilvl w:val="0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Pemasok dan subkont dengan hasil penilaian </w:t>
      </w:r>
      <w:r w:rsidR="00801B0F">
        <w:rPr>
          <w:rFonts w:ascii="Arial" w:hAnsi="Arial"/>
          <w:sz w:val="22"/>
          <w:lang w:val="id-ID"/>
        </w:rPr>
        <w:t>kurang</w:t>
      </w:r>
      <w:r>
        <w:rPr>
          <w:rFonts w:ascii="Arial" w:hAnsi="Arial"/>
          <w:sz w:val="22"/>
          <w:lang w:val="id-ID"/>
        </w:rPr>
        <w:t xml:space="preserve"> untuk salah satu kriteria pada periode penilaian bulanan, maka akan dilakukan pembinaan sesuai kriteria penilaian. Adapun pembinaan yang dimaksud adalah sebagai berikut: </w:t>
      </w:r>
    </w:p>
    <w:p w14:paraId="012E952A" w14:textId="77777777" w:rsidR="00847612" w:rsidRDefault="00847612" w:rsidP="00847612">
      <w:pPr>
        <w:pStyle w:val="Default"/>
        <w:numPr>
          <w:ilvl w:val="1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Kualitas adalah dimulai dengan dikeluarkannya IKK-TPP dari bagian QC untuk item NG yang harus ditindaklanjuti oleh pemasok/subkont dan dilakukan penggantian barang NG dan perbaikan item tersebut dipengiriman berikutnya.</w:t>
      </w:r>
    </w:p>
    <w:p w14:paraId="731D12FE" w14:textId="77777777" w:rsidR="00847612" w:rsidRDefault="00847612" w:rsidP="00847612">
      <w:pPr>
        <w:pStyle w:val="Default"/>
        <w:numPr>
          <w:ilvl w:val="1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pengiriman adalah dengan diadakannya koordinasi  dan diskusi sehingga akan ditemukan jadwal pengiriman yang disepakati antara pemasok/subkont dengan CINT.</w:t>
      </w:r>
    </w:p>
    <w:p w14:paraId="3D6E96F5" w14:textId="77777777" w:rsidR="00847612" w:rsidRDefault="00847612" w:rsidP="00847612">
      <w:pPr>
        <w:pStyle w:val="Default"/>
        <w:numPr>
          <w:ilvl w:val="1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Pembinaan untuk kriteria pelayanan adalah dengan berkoordinasi dan diskusi secara terus menerus dan apabila diperlukan dilakukan kunjungan ke pemasok/subkont. </w:t>
      </w:r>
    </w:p>
    <w:p w14:paraId="56A1FD9C" w14:textId="77777777" w:rsidR="00847612" w:rsidRDefault="00847612" w:rsidP="00847612">
      <w:pPr>
        <w:pStyle w:val="Default"/>
        <w:ind w:left="1440"/>
        <w:jc w:val="both"/>
        <w:rPr>
          <w:rFonts w:ascii="Arial" w:hAnsi="Arial"/>
          <w:sz w:val="22"/>
          <w:lang w:val="id-ID"/>
        </w:rPr>
      </w:pPr>
    </w:p>
    <w:p w14:paraId="1F8B23E3" w14:textId="77777777" w:rsidR="00847612" w:rsidRDefault="00847612" w:rsidP="00847612">
      <w:pPr>
        <w:pStyle w:val="Default"/>
        <w:numPr>
          <w:ilvl w:val="0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Apabila pembinaan yang dimaksud point 2 pemasok/subkont tidak mengalami perubahan selama </w:t>
      </w:r>
      <w:r>
        <w:rPr>
          <w:rFonts w:ascii="Arial" w:hAnsi="Arial"/>
          <w:sz w:val="22"/>
        </w:rPr>
        <w:t xml:space="preserve">2 kali </w:t>
      </w:r>
      <w:r>
        <w:rPr>
          <w:rFonts w:ascii="Arial" w:hAnsi="Arial"/>
          <w:sz w:val="22"/>
          <w:lang w:val="id-ID"/>
        </w:rPr>
        <w:t>periode penilaian (</w:t>
      </w:r>
      <w:r>
        <w:rPr>
          <w:rFonts w:ascii="Arial" w:hAnsi="Arial"/>
          <w:sz w:val="22"/>
        </w:rPr>
        <w:t>8</w:t>
      </w:r>
      <w:r>
        <w:rPr>
          <w:rFonts w:ascii="Arial" w:hAnsi="Arial"/>
          <w:sz w:val="22"/>
          <w:lang w:val="id-ID"/>
        </w:rPr>
        <w:t xml:space="preserve"> bulan), maka akan dilakukan tindakan sanksi sesuai kriteria yaitu sebagai berikut :</w:t>
      </w:r>
    </w:p>
    <w:p w14:paraId="37EC899E" w14:textId="77777777" w:rsidR="00847612" w:rsidRDefault="00847612" w:rsidP="00847612">
      <w:pPr>
        <w:pStyle w:val="Default"/>
        <w:numPr>
          <w:ilvl w:val="1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Kualitas, kerjasama masih dapat dilakukan kecuali item yang dinilai tidak sesuai dipindahkan ke pemasok/Subkont yang dapat memenuhi standard kualitas.</w:t>
      </w:r>
    </w:p>
    <w:p w14:paraId="08683730" w14:textId="77777777" w:rsidR="00847612" w:rsidRDefault="00847612" w:rsidP="00847612">
      <w:pPr>
        <w:pStyle w:val="Default"/>
        <w:numPr>
          <w:ilvl w:val="1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Pengiriman, kerjasama dapat terus dilakukan dengan porsi pembagian di perkecil atau bahkan dihilangkan untuk item tertentu atau tidak terbatas untuk seluruh item.</w:t>
      </w:r>
    </w:p>
    <w:p w14:paraId="2119D62D" w14:textId="77777777" w:rsidR="00847612" w:rsidRDefault="00847612" w:rsidP="00847612">
      <w:pPr>
        <w:pStyle w:val="Default"/>
        <w:numPr>
          <w:ilvl w:val="1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Pelayanan, kerjasama masih tetap bisa dilakukan dengan pengurangan porsi pembagian dengan syarat 2 kriteria lainnya telah terpenuhi dengan baik atau bahkan order dihentikan untuk sementara waktu.</w:t>
      </w:r>
    </w:p>
    <w:p w14:paraId="773A367D" w14:textId="77777777" w:rsidR="00847612" w:rsidRPr="00B51C83" w:rsidRDefault="00847612" w:rsidP="00847612">
      <w:pPr>
        <w:pStyle w:val="Default"/>
        <w:ind w:left="1440"/>
        <w:jc w:val="both"/>
        <w:rPr>
          <w:rFonts w:ascii="Arial" w:hAnsi="Arial"/>
          <w:sz w:val="22"/>
          <w:lang w:val="id-ID"/>
        </w:rPr>
      </w:pPr>
    </w:p>
    <w:p w14:paraId="0F4957D1" w14:textId="77777777" w:rsidR="00847612" w:rsidRPr="00490E18" w:rsidRDefault="00847612" w:rsidP="00847612">
      <w:pPr>
        <w:pStyle w:val="Default"/>
        <w:numPr>
          <w:ilvl w:val="0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Apabila pembinaan yang di maksud point 3 pemasok/subkont tidak mengalami perubahan selama 3 kali periode penilaian (1 Tahun), maka kerjasama dengan pemasok/subkont ditiadakan dan dialihkan ke pemasok/subkont dengan kriteria yang lebih baik atau bahkan ke pemasok/subkont baru.  </w:t>
      </w:r>
    </w:p>
    <w:p w14:paraId="0BBAB0E4" w14:textId="77777777" w:rsidR="00847612" w:rsidRDefault="00847612" w:rsidP="00847612"/>
    <w:p w14:paraId="2E6F9860" w14:textId="77777777" w:rsidR="00847612" w:rsidRPr="00847612" w:rsidRDefault="00847612" w:rsidP="00847612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</w:p>
    <w:sectPr w:rsidR="00847612" w:rsidRPr="00847612" w:rsidSect="00C94E89">
      <w:headerReference w:type="default" r:id="rId17"/>
      <w:footerReference w:type="default" r:id="rId18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7A75" w14:textId="77777777" w:rsidR="004355E3" w:rsidRDefault="004355E3">
      <w:r>
        <w:separator/>
      </w:r>
    </w:p>
  </w:endnote>
  <w:endnote w:type="continuationSeparator" w:id="0">
    <w:p w14:paraId="304968BF" w14:textId="77777777" w:rsidR="004355E3" w:rsidRDefault="0043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8F7E3C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8F7E3C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49D9" w14:textId="77777777" w:rsidR="004355E3" w:rsidRDefault="004355E3">
      <w:r>
        <w:separator/>
      </w:r>
    </w:p>
  </w:footnote>
  <w:footnote w:type="continuationSeparator" w:id="0">
    <w:p w14:paraId="15F1F002" w14:textId="77777777" w:rsidR="004355E3" w:rsidRDefault="0043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081"/>
                            <w:gridCol w:w="1413"/>
                            <w:gridCol w:w="1647"/>
                          </w:tblGrid>
                          <w:tr w:rsidR="000A656F" w14:paraId="431E7B90" w14:textId="4141300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0A656F" w:rsidRDefault="000A656F" w:rsidP="000A656F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16AC6B" w14:textId="77777777" w:rsidR="000A656F" w:rsidRPr="00C94E89" w:rsidRDefault="000A656F" w:rsidP="000A656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4A96738" w14:textId="77777777" w:rsidR="000A656F" w:rsidRPr="001A619F" w:rsidRDefault="000A656F" w:rsidP="000A656F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PROSEDUR</w:t>
                                </w:r>
                              </w:p>
                              <w:p w14:paraId="070AC46F" w14:textId="01E9BC38" w:rsidR="000A656F" w:rsidRPr="001A619F" w:rsidRDefault="000A656F" w:rsidP="000A656F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  <w:lang w:val="en-ID"/>
                                  </w:rPr>
                                  <w:t>PENILAIAN KINERJA PEMASOK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797783" w14:paraId="3EC18E14" w14:textId="4009D786" w:rsidTr="00C5352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D3B809C" w14:textId="6C3F728C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01D32F1" w14:textId="54F951BB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Pch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7BC1432E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50A8B0B" w14:textId="403B2A28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  <w:lang w:val="id-ID"/>
                                  </w:rPr>
                                  <w:t>Dir. Adm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49DF609" w14:textId="38CD107B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20 Nov 2019</w:t>
                                </w:r>
                              </w:p>
                            </w:tc>
                          </w:tr>
                          <w:tr w:rsidR="00797783" w14:paraId="36E9BBA6" w14:textId="4AF4A69D" w:rsidTr="00C5352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FAB75EF" w14:textId="2DFE1142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lang w:val="id-ID"/>
                                  </w:rPr>
                                  <w:t xml:space="preserve">CO of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06E8CAE6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2BBC9CB1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lang w:val="id-ID"/>
                                  </w:rPr>
                                  <w:t>Pch Mgr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7DD4028C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lang w:val="id-ID"/>
                                  </w:rPr>
                                  <w:t xml:space="preserve">8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Jan 2024</w:t>
                                </w:r>
                              </w:p>
                            </w:tc>
                          </w:tr>
                          <w:tr w:rsidR="00797783" w14:paraId="20064967" w14:textId="2FD0DE7B" w:rsidTr="00C5352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CFFF3D" w14:textId="35A2D216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CO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42625F59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328D79DF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3A0812CC" w:rsidR="00797783" w:rsidRPr="00C94E89" w:rsidRDefault="00504C3D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22 April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081"/>
                      <w:gridCol w:w="1413"/>
                      <w:gridCol w:w="1647"/>
                    </w:tblGrid>
                    <w:tr w:rsidR="000A656F" w14:paraId="431E7B90" w14:textId="4141300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0A656F" w:rsidRDefault="000A656F" w:rsidP="000A656F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16AC6B" w14:textId="77777777" w:rsidR="000A656F" w:rsidRPr="00C94E89" w:rsidRDefault="000A656F" w:rsidP="000A65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54A96738" w14:textId="77777777" w:rsidR="000A656F" w:rsidRPr="001A619F" w:rsidRDefault="000A656F" w:rsidP="000A656F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PROSEDUR</w:t>
                          </w:r>
                        </w:p>
                        <w:p w14:paraId="070AC46F" w14:textId="01E9BC38" w:rsidR="000A656F" w:rsidRPr="001A619F" w:rsidRDefault="000A656F" w:rsidP="000A656F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ID"/>
                            </w:rPr>
                            <w:t>PENILAIAN KINERJA PEMASOK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797783" w14:paraId="3EC18E14" w14:textId="4009D786" w:rsidTr="00C5352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0D3B809C" w14:textId="6C3F728C" w:rsidR="00797783" w:rsidRPr="001A619F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01D32F1" w14:textId="54F951BB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Pch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7BC1432E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50A8B0B" w14:textId="403B2A28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lang w:val="id-ID"/>
                            </w:rPr>
                            <w:t>Dir. Adm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49DF609" w14:textId="38CD107B" w:rsidR="00797783" w:rsidRPr="00C94E89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 Nov 2019</w:t>
                          </w:r>
                        </w:p>
                      </w:tc>
                    </w:tr>
                    <w:tr w:rsidR="00797783" w14:paraId="36E9BBA6" w14:textId="4AF4A69D" w:rsidTr="00C5352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797783" w:rsidRPr="001A619F" w:rsidRDefault="00797783" w:rsidP="0079778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FAB75EF" w14:textId="2DFE1142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lang w:val="id-ID"/>
                            </w:rPr>
                            <w:t xml:space="preserve">CO of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06E8CAE6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2BBC9CB1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lang w:val="id-ID"/>
                            </w:rPr>
                            <w:t>Pch Mgr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7DD4028C" w:rsidR="00797783" w:rsidRPr="00C94E89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lang w:val="id-ID"/>
                            </w:rPr>
                            <w:t xml:space="preserve">8 </w:t>
                          </w:r>
                          <w:r>
                            <w:rPr>
                              <w:b/>
                              <w:sz w:val="20"/>
                            </w:rPr>
                            <w:t>Jan 2024</w:t>
                          </w:r>
                        </w:p>
                      </w:tc>
                    </w:tr>
                    <w:tr w:rsidR="00797783" w14:paraId="20064967" w14:textId="2FD0DE7B" w:rsidTr="00C5352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797783" w:rsidRPr="001A619F" w:rsidRDefault="00797783" w:rsidP="0079778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CFFF3D" w14:textId="35A2D216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CO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42625F59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7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328D79DF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3A0812CC" w:rsidR="00797783" w:rsidRPr="00C94E89" w:rsidRDefault="00504C3D" w:rsidP="0079778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22 April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3001E56"/>
    <w:multiLevelType w:val="multilevel"/>
    <w:tmpl w:val="28D4A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7" w15:restartNumberingAfterBreak="0">
    <w:nsid w:val="1EC80AE0"/>
    <w:multiLevelType w:val="multilevel"/>
    <w:tmpl w:val="77043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5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1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3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6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230044803">
    <w:abstractNumId w:val="8"/>
  </w:num>
  <w:num w:numId="2" w16cid:durableId="1733193190">
    <w:abstractNumId w:val="14"/>
  </w:num>
  <w:num w:numId="3" w16cid:durableId="1457988740">
    <w:abstractNumId w:val="6"/>
  </w:num>
  <w:num w:numId="4" w16cid:durableId="2008165613">
    <w:abstractNumId w:val="16"/>
  </w:num>
  <w:num w:numId="5" w16cid:durableId="1738211845">
    <w:abstractNumId w:val="12"/>
  </w:num>
  <w:num w:numId="6" w16cid:durableId="1091779903">
    <w:abstractNumId w:val="10"/>
  </w:num>
  <w:num w:numId="7" w16cid:durableId="573972206">
    <w:abstractNumId w:val="13"/>
  </w:num>
  <w:num w:numId="8" w16cid:durableId="1531796560">
    <w:abstractNumId w:val="9"/>
  </w:num>
  <w:num w:numId="9" w16cid:durableId="340665538">
    <w:abstractNumId w:val="11"/>
  </w:num>
  <w:num w:numId="10" w16cid:durableId="1735077891">
    <w:abstractNumId w:val="3"/>
  </w:num>
  <w:num w:numId="11" w16cid:durableId="1393190227">
    <w:abstractNumId w:val="15"/>
  </w:num>
  <w:num w:numId="12" w16cid:durableId="1150711751">
    <w:abstractNumId w:val="4"/>
  </w:num>
  <w:num w:numId="13" w16cid:durableId="1335307229">
    <w:abstractNumId w:val="1"/>
  </w:num>
  <w:num w:numId="14" w16cid:durableId="1739790649">
    <w:abstractNumId w:val="0"/>
  </w:num>
  <w:num w:numId="15" w16cid:durableId="718751770">
    <w:abstractNumId w:val="17"/>
  </w:num>
  <w:num w:numId="16" w16cid:durableId="1836073210">
    <w:abstractNumId w:val="5"/>
  </w:num>
  <w:num w:numId="17" w16cid:durableId="400561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8919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5220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52040"/>
    <w:rsid w:val="00077092"/>
    <w:rsid w:val="000A656F"/>
    <w:rsid w:val="000C2CA6"/>
    <w:rsid w:val="00100E47"/>
    <w:rsid w:val="00142A1E"/>
    <w:rsid w:val="001632ED"/>
    <w:rsid w:val="00171448"/>
    <w:rsid w:val="001A0CF0"/>
    <w:rsid w:val="001A2572"/>
    <w:rsid w:val="001A619F"/>
    <w:rsid w:val="001D0091"/>
    <w:rsid w:val="00205495"/>
    <w:rsid w:val="00211946"/>
    <w:rsid w:val="0022543E"/>
    <w:rsid w:val="00226259"/>
    <w:rsid w:val="00253166"/>
    <w:rsid w:val="00264BB5"/>
    <w:rsid w:val="00264DFD"/>
    <w:rsid w:val="00270A16"/>
    <w:rsid w:val="00285642"/>
    <w:rsid w:val="00287B46"/>
    <w:rsid w:val="002A7C25"/>
    <w:rsid w:val="00323FAA"/>
    <w:rsid w:val="003345C7"/>
    <w:rsid w:val="003526E0"/>
    <w:rsid w:val="00353695"/>
    <w:rsid w:val="00367F45"/>
    <w:rsid w:val="00390029"/>
    <w:rsid w:val="0039726D"/>
    <w:rsid w:val="003B3EF2"/>
    <w:rsid w:val="003C2607"/>
    <w:rsid w:val="003C385A"/>
    <w:rsid w:val="003E2A3A"/>
    <w:rsid w:val="004355E3"/>
    <w:rsid w:val="00436083"/>
    <w:rsid w:val="00460991"/>
    <w:rsid w:val="0046144D"/>
    <w:rsid w:val="00476085"/>
    <w:rsid w:val="004B7199"/>
    <w:rsid w:val="00504C3D"/>
    <w:rsid w:val="00536A32"/>
    <w:rsid w:val="005404E6"/>
    <w:rsid w:val="0054675B"/>
    <w:rsid w:val="0059379E"/>
    <w:rsid w:val="005B0F71"/>
    <w:rsid w:val="00623966"/>
    <w:rsid w:val="006307E6"/>
    <w:rsid w:val="006477E2"/>
    <w:rsid w:val="006563AC"/>
    <w:rsid w:val="00693FE4"/>
    <w:rsid w:val="00695208"/>
    <w:rsid w:val="006D0B34"/>
    <w:rsid w:val="006E5030"/>
    <w:rsid w:val="00735670"/>
    <w:rsid w:val="00766DC3"/>
    <w:rsid w:val="00795A51"/>
    <w:rsid w:val="00797783"/>
    <w:rsid w:val="007B0E10"/>
    <w:rsid w:val="007E34CE"/>
    <w:rsid w:val="00801B0F"/>
    <w:rsid w:val="008347BC"/>
    <w:rsid w:val="0084160A"/>
    <w:rsid w:val="00847612"/>
    <w:rsid w:val="00891D1F"/>
    <w:rsid w:val="008C2875"/>
    <w:rsid w:val="008F7E3C"/>
    <w:rsid w:val="00905692"/>
    <w:rsid w:val="00906711"/>
    <w:rsid w:val="00927E76"/>
    <w:rsid w:val="00946DFE"/>
    <w:rsid w:val="00981CA9"/>
    <w:rsid w:val="009E1201"/>
    <w:rsid w:val="009F6831"/>
    <w:rsid w:val="00A1639A"/>
    <w:rsid w:val="00A32B7C"/>
    <w:rsid w:val="00A46834"/>
    <w:rsid w:val="00A61563"/>
    <w:rsid w:val="00A662FD"/>
    <w:rsid w:val="00A8031C"/>
    <w:rsid w:val="00AA24C3"/>
    <w:rsid w:val="00AC6CC8"/>
    <w:rsid w:val="00AD213F"/>
    <w:rsid w:val="00AD27F9"/>
    <w:rsid w:val="00AE6001"/>
    <w:rsid w:val="00B75566"/>
    <w:rsid w:val="00B76FFC"/>
    <w:rsid w:val="00B90F67"/>
    <w:rsid w:val="00B913B2"/>
    <w:rsid w:val="00B9168B"/>
    <w:rsid w:val="00B92BBC"/>
    <w:rsid w:val="00BA31E9"/>
    <w:rsid w:val="00BA37C8"/>
    <w:rsid w:val="00BD5C67"/>
    <w:rsid w:val="00C10BC3"/>
    <w:rsid w:val="00C17F4A"/>
    <w:rsid w:val="00C31383"/>
    <w:rsid w:val="00C7294D"/>
    <w:rsid w:val="00C73CA5"/>
    <w:rsid w:val="00C74098"/>
    <w:rsid w:val="00C852C5"/>
    <w:rsid w:val="00C94E89"/>
    <w:rsid w:val="00CA36D4"/>
    <w:rsid w:val="00CC1AA5"/>
    <w:rsid w:val="00CC4FFF"/>
    <w:rsid w:val="00CD5E36"/>
    <w:rsid w:val="00D04E53"/>
    <w:rsid w:val="00D104F9"/>
    <w:rsid w:val="00D10503"/>
    <w:rsid w:val="00D32316"/>
    <w:rsid w:val="00D42782"/>
    <w:rsid w:val="00D46009"/>
    <w:rsid w:val="00DC290F"/>
    <w:rsid w:val="00E066CE"/>
    <w:rsid w:val="00E73297"/>
    <w:rsid w:val="00EA790F"/>
    <w:rsid w:val="00EB6005"/>
    <w:rsid w:val="00EC06CC"/>
    <w:rsid w:val="00EE371A"/>
    <w:rsid w:val="00F010FF"/>
    <w:rsid w:val="00F04E25"/>
    <w:rsid w:val="00F36FC2"/>
    <w:rsid w:val="00F70300"/>
    <w:rsid w:val="00F81767"/>
    <w:rsid w:val="00F924E5"/>
    <w:rsid w:val="00FA7F8A"/>
    <w:rsid w:val="00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5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customStyle="1" w:styleId="Heading4Char">
    <w:name w:val="Heading 4 Char"/>
    <w:basedOn w:val="DefaultParagraphFont"/>
    <w:link w:val="Heading4"/>
    <w:uiPriority w:val="9"/>
    <w:semiHidden/>
    <w:rsid w:val="000A65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847612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it</cp:lastModifiedBy>
  <cp:revision>56</cp:revision>
  <dcterms:created xsi:type="dcterms:W3CDTF">2024-09-12T02:47:00Z</dcterms:created>
  <dcterms:modified xsi:type="dcterms:W3CDTF">2025-07-09T09:47:00Z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