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7101782" w:rsidR="00460991" w:rsidRPr="00C94E89" w:rsidRDefault="003B3EF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4E35B5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B3EF2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PCH.P.</w:t>
            </w:r>
            <w:r w:rsidR="000C2CA6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5ECFBC84" w:rsidR="00460991" w:rsidRPr="00C94E89" w:rsidRDefault="003B3E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PENILAIAN KINERJA PEMASOK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FBB9A6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5369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1B1EC3E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C587682" w:rsidR="00460991" w:rsidRPr="00353695" w:rsidRDefault="001A2572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Ichwan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B7AF9DD" w:rsidR="00460991" w:rsidRPr="00353695" w:rsidRDefault="007B0E1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="00AD27F9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</w:t>
            </w:r>
            <w:r w:rsid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urchasing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353695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353ABE78" w:rsidR="00460991" w:rsidRPr="00353695" w:rsidRDefault="001A2572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="00AD27F9"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Mauludin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2A5327C" w:rsidR="00460991" w:rsidRPr="00353695" w:rsidRDefault="00AD27F9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P</w:t>
            </w:r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ch</w:t>
            </w:r>
            <w:proofErr w:type="spellEnd"/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Manager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8F7E3C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5F42AB94" w14:textId="64401317" w:rsidR="00077092" w:rsidRPr="00077092" w:rsidRDefault="00B90F67" w:rsidP="0007709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10F9D335" w14:textId="77777777" w:rsidR="00077092" w:rsidRPr="00077092" w:rsidRDefault="00077092" w:rsidP="00077092">
      <w:pPr>
        <w:widowControl/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Ruang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lingkup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:</w:t>
      </w:r>
    </w:p>
    <w:p w14:paraId="5B286188" w14:textId="6FDE5656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r w:rsidRPr="00077092">
        <w:rPr>
          <w:rFonts w:ascii="Arial" w:eastAsia="Times New Roman" w:hAnsi="Arial" w:cs="Times New Roman"/>
          <w:bCs/>
          <w:szCs w:val="20"/>
        </w:rPr>
        <w:t xml:space="preserve">Data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inputan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diantaranya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berupa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373290F9" w14:textId="53353433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sama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29F06FE2" w14:textId="701B7765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standa</w:t>
      </w:r>
      <w:r w:rsidR="00C10BC3">
        <w:rPr>
          <w:rFonts w:ascii="Arial" w:eastAsia="Times New Roman" w:hAnsi="Arial" w:cs="Times New Roman"/>
          <w:bCs/>
          <w:szCs w:val="20"/>
        </w:rPr>
        <w:t>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r w:rsidRPr="00077092">
        <w:rPr>
          <w:rFonts w:ascii="Arial" w:eastAsia="Times New Roman" w:hAnsi="Arial" w:cs="Times New Roman"/>
          <w:bCs/>
          <w:szCs w:val="20"/>
        </w:rPr>
        <w:t xml:space="preserve">yang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dipengaruhi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oleh</w:t>
      </w:r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0800F943" w14:textId="77777777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termasuk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baku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(Supplier) dan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(Sub Kont.) yang 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meliputi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terlampir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)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jumlah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maupun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nama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bisa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berubah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sesuai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evaluasi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sebelumnya</w:t>
      </w:r>
      <w:proofErr w:type="spellEnd"/>
    </w:p>
    <w:p w14:paraId="464D4E24" w14:textId="77777777" w:rsidR="00077092" w:rsidRPr="00B90F67" w:rsidRDefault="00077092" w:rsidP="0007709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23B6AD6F" w:rsidR="00AD27F9" w:rsidRPr="00077092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AED95E" w14:textId="77777777" w:rsidR="00077092" w:rsidRPr="00077092" w:rsidRDefault="00077092" w:rsidP="00077092">
      <w:pPr>
        <w:widowControl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ditujukan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:</w:t>
      </w:r>
    </w:p>
    <w:p w14:paraId="01D5D613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dilakukan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suatu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metode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benar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0382521A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Sebagai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informasi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standar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kinerja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PT. Chitose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Internasional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Tbk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.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Khususnya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purchasing.</w:t>
      </w:r>
    </w:p>
    <w:p w14:paraId="10274E1A" w14:textId="77777777" w:rsidR="00077092" w:rsidRPr="00B90F67" w:rsidRDefault="00077092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0E92D20D" w:rsidR="00D104F9" w:rsidRPr="00766DC3" w:rsidRDefault="00B90F67" w:rsidP="00766DC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C09AEB" w14:textId="77777777" w:rsidR="00766DC3" w:rsidRPr="00766DC3" w:rsidRDefault="00766DC3" w:rsidP="00766DC3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 xml:space="preserve">PT. Chitose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Internasional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Tbk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>. (PT. CINT)</w:t>
      </w:r>
    </w:p>
    <w:p w14:paraId="5B040DB3" w14:textId="77777777" w:rsidR="00766DC3" w:rsidRP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766DC3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766DC3">
        <w:rPr>
          <w:rFonts w:ascii="Arial" w:eastAsia="Times New Roman" w:hAnsi="Arial" w:cs="Times New Roman"/>
          <w:bCs/>
          <w:szCs w:val="20"/>
        </w:rPr>
        <w:t xml:space="preserve">Industri III No. 5 RT.001 RW.008, Utama, 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selatan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Jawa Barat 40533, Indonesia.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Dapat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disingkat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CINT.</w:t>
      </w:r>
    </w:p>
    <w:p w14:paraId="3B01580B" w14:textId="0FD61DC5" w:rsidR="00766DC3" w:rsidRPr="00766DC3" w:rsidRDefault="00766DC3" w:rsidP="00BA31E9">
      <w:pPr>
        <w:widowControl/>
        <w:numPr>
          <w:ilvl w:val="1"/>
          <w:numId w:val="17"/>
        </w:numPr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66DC3">
        <w:rPr>
          <w:rFonts w:ascii="Arial" w:eastAsia="Times New Roman" w:hAnsi="Arial" w:cs="Times New Roman"/>
          <w:b/>
          <w:szCs w:val="20"/>
        </w:rPr>
        <w:t>Pemasok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</w:p>
    <w:p w14:paraId="7B78DDF6" w14:textId="3D9B6F72" w:rsid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390029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rekanan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mensuplai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bentuk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material,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/ non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dll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>.</w:t>
      </w:r>
    </w:p>
    <w:p w14:paraId="118A4FFF" w14:textId="77777777" w:rsidR="00390029" w:rsidRPr="00390029" w:rsidRDefault="00390029" w:rsidP="00390029">
      <w:pPr>
        <w:widowControl/>
        <w:tabs>
          <w:tab w:val="num" w:pos="369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67509F24" w:rsidR="00AD27F9" w:rsidRPr="00FA7F8A" w:rsidRDefault="00B90F67" w:rsidP="00FA7F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B039CBA" w14:textId="5300FFBD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mulai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berlaku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diterimanya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data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 </w:t>
      </w:r>
      <w:proofErr w:type="spellStart"/>
      <w:r w:rsidRPr="00735670">
        <w:rPr>
          <w:rFonts w:ascii="Arial" w:eastAsia="Times New Roman" w:hAnsi="Arial" w:cs="Times New Roman"/>
          <w:szCs w:val="20"/>
        </w:rPr>
        <w:t>dari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bagian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terkait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35670">
        <w:rPr>
          <w:rFonts w:ascii="Arial" w:eastAsia="Times New Roman" w:hAnsi="Arial" w:cs="Times New Roman"/>
          <w:szCs w:val="20"/>
        </w:rPr>
        <w:t>yaitu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 QC, </w:t>
      </w:r>
      <w:r w:rsidR="008347BC">
        <w:rPr>
          <w:rFonts w:ascii="Arial" w:eastAsia="Times New Roman" w:hAnsi="Arial" w:cs="Times New Roman"/>
          <w:szCs w:val="20"/>
        </w:rPr>
        <w:t>SCM</w:t>
      </w:r>
      <w:r w:rsidRPr="00735670">
        <w:rPr>
          <w:rFonts w:ascii="Arial" w:eastAsia="Times New Roman" w:hAnsi="Arial" w:cs="Times New Roman"/>
          <w:szCs w:val="20"/>
        </w:rPr>
        <w:t xml:space="preserve"> dan HC&amp;GA.</w:t>
      </w:r>
    </w:p>
    <w:p w14:paraId="04A0828F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Semua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informasi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diperlukan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harus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lengkap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jelas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1CBD6C83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dilaksanakan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interval </w:t>
      </w:r>
      <w:proofErr w:type="spellStart"/>
      <w:r w:rsidRPr="00735670">
        <w:rPr>
          <w:rFonts w:ascii="Arial" w:eastAsia="Times New Roman" w:hAnsi="Arial" w:cs="Times New Roman"/>
          <w:szCs w:val="20"/>
        </w:rPr>
        <w:t>setiap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4 (</w:t>
      </w:r>
      <w:proofErr w:type="spellStart"/>
      <w:r w:rsidRPr="00735670">
        <w:rPr>
          <w:rFonts w:ascii="Arial" w:eastAsia="Times New Roman" w:hAnsi="Arial" w:cs="Times New Roman"/>
          <w:szCs w:val="20"/>
        </w:rPr>
        <w:t>empat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) </w:t>
      </w:r>
      <w:proofErr w:type="spellStart"/>
      <w:r w:rsidRPr="00735670">
        <w:rPr>
          <w:rFonts w:ascii="Arial" w:eastAsia="Times New Roman" w:hAnsi="Arial" w:cs="Times New Roman"/>
          <w:szCs w:val="20"/>
        </w:rPr>
        <w:t>bulan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sekali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termasuk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evaluasi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daftar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dinilai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29F898C9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Kriteria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adalah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</w:p>
    <w:p w14:paraId="410A1D87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  <w:lang w:val="de-DE"/>
        </w:rPr>
        <w:t xml:space="preserve">Kondisi barang yang diterima sesuai dengan Spesifikasi yang ditentukan oleh PT. </w:t>
      </w:r>
      <w:r w:rsidRPr="00735670">
        <w:rPr>
          <w:rFonts w:ascii="Arial" w:eastAsia="Times New Roman" w:hAnsi="Arial" w:cs="Times New Roman"/>
          <w:szCs w:val="20"/>
        </w:rPr>
        <w:t xml:space="preserve">Chitose </w:t>
      </w:r>
      <w:proofErr w:type="spellStart"/>
      <w:r w:rsidRPr="00735670">
        <w:rPr>
          <w:rFonts w:ascii="Arial" w:eastAsia="Times New Roman" w:hAnsi="Arial" w:cs="Times New Roman"/>
          <w:szCs w:val="20"/>
        </w:rPr>
        <w:t>Internasional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3C1B9AF6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Ketepatan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Jumlah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waktu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sesuai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dengan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ditentukan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r w:rsidRPr="00735670">
        <w:rPr>
          <w:rFonts w:ascii="Arial" w:eastAsia="Times New Roman" w:hAnsi="Arial" w:cs="Times New Roman"/>
          <w:szCs w:val="20"/>
        </w:rPr>
        <w:t>PT.Chitose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Internasional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0A149DD2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</w:t>
      </w:r>
      <w:r w:rsidRPr="00735670">
        <w:rPr>
          <w:rFonts w:ascii="Arial" w:eastAsia="Times New Roman" w:hAnsi="Arial" w:cs="Times New Roman"/>
          <w:szCs w:val="20"/>
          <w:lang w:val="id-ID"/>
        </w:rPr>
        <w:t>elayanan dan respon terhadap</w:t>
      </w:r>
      <w:r w:rsidRPr="00735670">
        <w:rPr>
          <w:rFonts w:ascii="Arial" w:eastAsia="Times New Roman" w:hAnsi="Arial" w:cs="Times New Roman"/>
          <w:szCs w:val="20"/>
        </w:rPr>
        <w:t xml:space="preserve"> PO</w:t>
      </w:r>
      <w:r w:rsidRPr="00735670">
        <w:rPr>
          <w:rFonts w:ascii="Arial" w:eastAsia="Times New Roman" w:hAnsi="Arial" w:cs="Times New Roman"/>
          <w:szCs w:val="20"/>
          <w:lang w:val="id-ID"/>
        </w:rPr>
        <w:t>, dan layanan pengaduan ketidaksesuaian produ</w:t>
      </w:r>
      <w:r w:rsidRPr="00735670">
        <w:rPr>
          <w:rFonts w:ascii="Arial" w:eastAsia="Times New Roman" w:hAnsi="Arial" w:cs="Times New Roman"/>
          <w:szCs w:val="20"/>
        </w:rPr>
        <w:t>k, b</w:t>
      </w:r>
      <w:r w:rsidRPr="00735670">
        <w:rPr>
          <w:rFonts w:ascii="Arial" w:eastAsia="Times New Roman" w:hAnsi="Arial" w:cs="Times New Roman"/>
          <w:szCs w:val="20"/>
          <w:lang w:val="id-ID"/>
        </w:rPr>
        <w:t>aik secara lisan maupun tertulis.</w:t>
      </w:r>
    </w:p>
    <w:p w14:paraId="4EB5A91B" w14:textId="027715C6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Penerapan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Kesehatan, Keselamatan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Keamanan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Lingkungan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(K3) dan  </w:t>
      </w:r>
      <w:proofErr w:type="spellStart"/>
      <w:r w:rsidRPr="00735670">
        <w:rPr>
          <w:rFonts w:ascii="Arial" w:eastAsia="Times New Roman" w:hAnsi="Arial" w:cs="Times New Roman"/>
          <w:szCs w:val="20"/>
        </w:rPr>
        <w:t>atau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Health, Safety dan Environment (HSE).</w:t>
      </w:r>
    </w:p>
    <w:p w14:paraId="2A2552D1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lastRenderedPageBreak/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dianggap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apabila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ditanda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tangani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Purchasing Manager.</w:t>
      </w:r>
    </w:p>
    <w:p w14:paraId="579F4945" w14:textId="1B0527A8" w:rsidR="00735670" w:rsidRPr="008347BC" w:rsidRDefault="00735670" w:rsidP="008347BC">
      <w:pPr>
        <w:widowControl/>
        <w:numPr>
          <w:ilvl w:val="1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8347BC">
        <w:rPr>
          <w:rFonts w:ascii="Arial" w:eastAsia="Times New Roman" w:hAnsi="Arial" w:cs="Times New Roman"/>
          <w:szCs w:val="20"/>
        </w:rPr>
        <w:t>dia</w:t>
      </w:r>
      <w:r w:rsidRPr="008347BC">
        <w:rPr>
          <w:rFonts w:ascii="Arial" w:eastAsia="Times New Roman" w:hAnsi="Arial" w:cs="Times New Roman"/>
          <w:szCs w:val="20"/>
        </w:rPr>
        <w:t>rsip</w:t>
      </w:r>
      <w:proofErr w:type="spellEnd"/>
      <w:r w:rsidRPr="008347BC">
        <w:rPr>
          <w:rFonts w:ascii="Arial" w:eastAsia="Times New Roman" w:hAnsi="Arial" w:cs="Times New Roman"/>
          <w:szCs w:val="20"/>
        </w:rPr>
        <w:t xml:space="preserve"> </w:t>
      </w:r>
      <w:r w:rsidR="008347BC">
        <w:rPr>
          <w:rFonts w:ascii="Arial" w:eastAsia="Times New Roman" w:hAnsi="Arial" w:cs="Times New Roman"/>
          <w:szCs w:val="20"/>
        </w:rPr>
        <w:t xml:space="preserve">oleh </w:t>
      </w:r>
      <w:r w:rsidRPr="008347BC">
        <w:rPr>
          <w:rFonts w:ascii="Arial" w:eastAsia="Times New Roman" w:hAnsi="Arial" w:cs="Times New Roman"/>
          <w:szCs w:val="20"/>
        </w:rPr>
        <w:t>Bagian Purchasing.</w:t>
      </w:r>
    </w:p>
    <w:p w14:paraId="0885BB0D" w14:textId="14CAAF34" w:rsidR="00735670" w:rsidRPr="00FA7F8A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  <w:lang w:val="id-ID"/>
        </w:rPr>
        <w:t>Ketentuan atas hasil penilaian pemasok atau subkont diatur pada Lampiran Ketentuan terhadap Hasil Penilaian Pemasok.</w:t>
      </w:r>
    </w:p>
    <w:p w14:paraId="432C0114" w14:textId="77777777" w:rsidR="00735670" w:rsidRPr="007E34CE" w:rsidRDefault="00735670" w:rsidP="00735670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117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8D1A89" w14:textId="4D014EE4" w:rsidR="00FA7F8A" w:rsidRPr="00CC4FFF" w:rsidRDefault="00693FE4" w:rsidP="00CC4FF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A7891A" w14:textId="77777777" w:rsidR="00FA7F8A" w:rsidRPr="00FA7F8A" w:rsidRDefault="00FA7F8A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 xml:space="preserve">Purchasing Manager </w:t>
      </w:r>
      <w:proofErr w:type="spellStart"/>
      <w:r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:</w:t>
      </w:r>
    </w:p>
    <w:p w14:paraId="3F4369D6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Jalannya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prosedur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184003D9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Penandatangan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Formulir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06D62A6B" w14:textId="18FECD64" w:rsidR="00FA7F8A" w:rsidRDefault="008347BC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</w:t>
      </w:r>
      <w:r w:rsidR="00FA7F8A" w:rsidRPr="00FA7F8A">
        <w:rPr>
          <w:rFonts w:ascii="Arial" w:eastAsia="Times New Roman" w:hAnsi="Arial" w:cs="Times New Roman"/>
          <w:szCs w:val="20"/>
        </w:rPr>
        <w:t xml:space="preserve">f Purchasing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:</w:t>
      </w:r>
    </w:p>
    <w:p w14:paraId="2DB7C69C" w14:textId="021A4701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Pelaksanaan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</w:p>
    <w:p w14:paraId="4A8E6D26" w14:textId="7AD2111C" w:rsidR="00A46834" w:rsidRDefault="00693FE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419851A0" w14:textId="25E2B0A7" w:rsidR="00EC06CC" w:rsidRPr="00AD27F9" w:rsidRDefault="00F04E25" w:rsidP="00EC06CC">
      <w:pPr>
        <w:widowControl/>
        <w:suppressAutoHyphens/>
        <w:autoSpaceDE/>
        <w:autoSpaceDN/>
        <w:spacing w:line="276" w:lineRule="auto"/>
        <w:ind w:firstLine="72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23" w:dyaOrig="15759" w14:anchorId="28A6A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21pt" o:ole="">
            <v:imagedata r:id="rId11" o:title=""/>
          </v:shape>
          <o:OLEObject Type="Embed" ProgID="Visio.Drawing.11" ShapeID="_x0000_i1025" DrawAspect="Content" ObjectID="_1806158317" r:id="rId12"/>
        </w:object>
      </w:r>
    </w:p>
    <w:p w14:paraId="0445550A" w14:textId="31D3EF98" w:rsidR="0084160A" w:rsidRPr="00A46834" w:rsidRDefault="00A4683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lastRenderedPageBreak/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59379E">
        <w:trPr>
          <w:trHeight w:val="772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163405" w14:textId="77777777" w:rsidR="00BD5C67" w:rsidRDefault="00BD5C67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BB23632" w14:textId="3CE8910B" w:rsidR="00795A51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r w:rsidR="0059379E">
              <w:rPr>
                <w:rFonts w:ascii="Arial" w:hAnsi="Arial" w:cs="Arial"/>
                <w:iCs/>
              </w:rPr>
              <w:t>SCM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r w:rsidR="00D04E53">
              <w:rPr>
                <w:rFonts w:ascii="Arial" w:hAnsi="Arial" w:cs="Arial"/>
                <w:iCs/>
              </w:rPr>
              <w:t>QC</w:t>
            </w:r>
            <w:r w:rsidR="00FE54CA" w:rsidRPr="00FE54CA">
              <w:rPr>
                <w:rFonts w:ascii="Arial" w:hAnsi="Arial" w:cs="Arial"/>
                <w:iCs/>
              </w:rPr>
              <w:t xml:space="preserve">, HC&amp;GA, </w:t>
            </w:r>
          </w:p>
          <w:p w14:paraId="0CA92CB0" w14:textId="3F70447A" w:rsidR="00FE54CA" w:rsidRPr="00FE54CA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="00FE54CA" w:rsidRPr="00FE54CA">
              <w:rPr>
                <w:rFonts w:ascii="Arial" w:hAnsi="Arial" w:cs="Arial"/>
                <w:iCs/>
              </w:rPr>
              <w:t>pakah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lanjutkan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ke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3</w:t>
            </w:r>
          </w:p>
          <w:p w14:paraId="51240A3E" w14:textId="5C718560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memperbaiki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ketidaksesuaian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yang </w:t>
            </w:r>
            <w:proofErr w:type="spellStart"/>
            <w:r w:rsidRPr="00FE54CA">
              <w:rPr>
                <w:rFonts w:ascii="Arial" w:hAnsi="Arial" w:cs="Arial"/>
                <w:iCs/>
              </w:rPr>
              <w:t>diperlukan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untuk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6EA9D01A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Mengisi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formulir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kinerja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03A15EA6" w14:textId="6B7B2659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terhadap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</w:t>
            </w:r>
            <w:proofErr w:type="spellStart"/>
            <w:r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mencukupi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kebutuhan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</w:t>
            </w:r>
            <w:r w:rsidR="00795A51">
              <w:rPr>
                <w:rFonts w:ascii="Arial" w:hAnsi="Arial" w:cs="Arial"/>
                <w:iCs/>
              </w:rPr>
              <w:t xml:space="preserve"> 7.7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7.6</w:t>
            </w:r>
          </w:p>
          <w:p w14:paraId="60B8BAAE" w14:textId="4914A7CC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Pch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meminta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bagian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BA37C8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</w:t>
            </w:r>
          </w:p>
          <w:p w14:paraId="29DE7DC7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Menghitung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jumlah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578C0998" w14:textId="51975D25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 </w:t>
            </w:r>
            <w:proofErr w:type="spellStart"/>
            <w:r w:rsidRPr="00FE54CA">
              <w:rPr>
                <w:rFonts w:ascii="Arial" w:hAnsi="Arial" w:cs="Arial"/>
                <w:iCs/>
              </w:rPr>
              <w:t>benar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7.10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 </w:t>
            </w:r>
            <w:r w:rsidR="00795A51">
              <w:rPr>
                <w:rFonts w:ascii="Arial" w:hAnsi="Arial" w:cs="Arial"/>
                <w:iCs/>
              </w:rPr>
              <w:t>7.9</w:t>
            </w:r>
          </w:p>
          <w:p w14:paraId="3258DEF1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Melakukan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perbaikan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kesalahan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166D8B69" w14:textId="606DC811" w:rsidR="00FE54CA" w:rsidRPr="00FE54CA" w:rsidRDefault="00D04E53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</w:t>
            </w:r>
            <w:r w:rsidR="00FE54CA" w:rsidRPr="00FE54CA">
              <w:rPr>
                <w:rFonts w:ascii="Arial" w:hAnsi="Arial" w:cs="Arial"/>
                <w:iCs/>
              </w:rPr>
              <w:t xml:space="preserve">anda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tangan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hasil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oleh </w:t>
            </w:r>
            <w:r w:rsidR="00FE54CA" w:rsidRPr="00FE54CA">
              <w:rPr>
                <w:rFonts w:ascii="Arial" w:hAnsi="Arial" w:cs="Arial"/>
                <w:iCs/>
              </w:rPr>
              <w:t xml:space="preserve"> Purchasing Manager</w:t>
            </w:r>
            <w:r w:rsidR="008347BC">
              <w:rPr>
                <w:rFonts w:ascii="Arial" w:hAnsi="Arial" w:cs="Arial"/>
                <w:iCs/>
              </w:rPr>
              <w:t>.</w:t>
            </w:r>
          </w:p>
          <w:p w14:paraId="0389F60B" w14:textId="77777777" w:rsidR="00FE54CA" w:rsidRPr="00FE54CA" w:rsidRDefault="00FE54CA" w:rsidP="00795A51">
            <w:pPr>
              <w:pStyle w:val="TableParagraph"/>
              <w:tabs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b/>
                <w:iCs/>
              </w:rPr>
            </w:pPr>
          </w:p>
          <w:p w14:paraId="3C38FFE2" w14:textId="45884555" w:rsidR="00FE54CA" w:rsidRPr="00EE371A" w:rsidRDefault="00FE54CA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0E9837" w14:textId="77777777" w:rsidR="00A46834" w:rsidRDefault="00A46834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DE380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1B13BFF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BEE6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346EB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33E45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9193254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E0532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60492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25A488B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4480D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BA975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6C8F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FD43E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75AEF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A4D100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DAD9E8" w14:textId="01FA02A1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BEF625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FD251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B1DF3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EE2E8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00BB09" w14:textId="5295F0CB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3782556" w14:textId="29907164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Purchasing</w:t>
            </w:r>
          </w:p>
          <w:p w14:paraId="46CE35FB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95708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8A125D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5BC54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9059EAB" w:rsidR="00D04E53" w:rsidRPr="00B90F67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7F821AF" w14:textId="77777777" w:rsidR="00A46834" w:rsidRDefault="00A46834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ED460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C85CE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F4E4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4B9F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7A36F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626255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05EC5E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9CABF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1A69A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84569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832F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450EF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30131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ABB5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94C7C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BA95B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5965A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81E7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01C05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F8C4E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95801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72FF8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9BF63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CF4DF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23637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338A1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767EC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4CFB70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76204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ECBB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4D3CF4D" w:rsidR="00D04E53" w:rsidRPr="00B90F67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periode</w:t>
            </w:r>
            <w:proofErr w:type="spellEnd"/>
          </w:p>
        </w:tc>
      </w:tr>
    </w:tbl>
    <w:p w14:paraId="4129457F" w14:textId="77777777" w:rsidR="00205495" w:rsidRDefault="00205495" w:rsidP="00795A51">
      <w:pPr>
        <w:pStyle w:val="Heading1"/>
        <w:jc w:val="both"/>
      </w:pPr>
    </w:p>
    <w:p w14:paraId="0CDA4B4B" w14:textId="4C7344E6" w:rsidR="0084160A" w:rsidRPr="006477E2" w:rsidRDefault="00205495" w:rsidP="00795A51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lastRenderedPageBreak/>
        <w:t>KETENTUAN KHUSUS</w:t>
      </w:r>
    </w:p>
    <w:p w14:paraId="5A3D5349" w14:textId="15E34745" w:rsidR="003C385A" w:rsidRPr="003C385A" w:rsidRDefault="003C385A" w:rsidP="00F36FC2">
      <w:pPr>
        <w:widowControl/>
        <w:numPr>
          <w:ilvl w:val="1"/>
          <w:numId w:val="6"/>
        </w:numPr>
        <w:tabs>
          <w:tab w:val="clear" w:pos="757"/>
          <w:tab w:val="num" w:pos="900"/>
          <w:tab w:val="num" w:pos="4770"/>
        </w:tabs>
        <w:suppressAutoHyphens/>
        <w:autoSpaceDE/>
        <w:autoSpaceDN/>
        <w:ind w:left="810" w:hanging="450"/>
        <w:jc w:val="both"/>
      </w:pPr>
      <w:proofErr w:type="spellStart"/>
      <w:r w:rsidRPr="003C385A">
        <w:t>Apabila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</w:t>
      </w:r>
      <w:proofErr w:type="spellStart"/>
      <w:r w:rsidRPr="003C385A">
        <w:t>pemasok</w:t>
      </w:r>
      <w:proofErr w:type="spellEnd"/>
      <w:r w:rsidRPr="003C385A">
        <w:t xml:space="preserve"> </w:t>
      </w:r>
      <w:proofErr w:type="spellStart"/>
      <w:r w:rsidRPr="003C385A">
        <w:t>tidak</w:t>
      </w:r>
      <w:proofErr w:type="spellEnd"/>
      <w:r w:rsidRPr="003C385A">
        <w:t xml:space="preserve"> </w:t>
      </w:r>
      <w:proofErr w:type="spellStart"/>
      <w:r w:rsidRPr="003C385A">
        <w:t>terlaksana</w:t>
      </w:r>
      <w:proofErr w:type="spellEnd"/>
      <w:r w:rsidRPr="003C385A">
        <w:t xml:space="preserve"> </w:t>
      </w:r>
      <w:proofErr w:type="spellStart"/>
      <w:r w:rsidRPr="003C385A">
        <w:t>sesuai</w:t>
      </w:r>
      <w:proofErr w:type="spellEnd"/>
      <w:r w:rsidRPr="003C385A">
        <w:t xml:space="preserve"> </w:t>
      </w:r>
      <w:proofErr w:type="spellStart"/>
      <w:r w:rsidRPr="003C385A">
        <w:t>dengan</w:t>
      </w:r>
      <w:proofErr w:type="spellEnd"/>
      <w:r w:rsidRPr="003C385A">
        <w:t xml:space="preserve"> yang </w:t>
      </w:r>
      <w:proofErr w:type="spellStart"/>
      <w:r w:rsidRPr="003C385A">
        <w:t>ditentukan</w:t>
      </w:r>
      <w:proofErr w:type="spellEnd"/>
      <w:r w:rsidRPr="003C385A">
        <w:t xml:space="preserve">, </w:t>
      </w:r>
      <w:proofErr w:type="spellStart"/>
      <w:r w:rsidRPr="003C385A">
        <w:t>maka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yang </w:t>
      </w:r>
      <w:proofErr w:type="spellStart"/>
      <w:r w:rsidRPr="003C385A">
        <w:t>sebelumnya</w:t>
      </w:r>
      <w:proofErr w:type="spellEnd"/>
      <w:r w:rsidRPr="003C385A">
        <w:t xml:space="preserve"> </w:t>
      </w:r>
      <w:proofErr w:type="spellStart"/>
      <w:r w:rsidRPr="003C385A">
        <w:t>dapat</w:t>
      </w:r>
      <w:proofErr w:type="spellEnd"/>
      <w:r w:rsidRPr="003C385A">
        <w:t xml:space="preserve"> </w:t>
      </w:r>
      <w:proofErr w:type="spellStart"/>
      <w:r w:rsidRPr="003C385A">
        <w:t>dimanfaatkan</w:t>
      </w:r>
      <w:proofErr w:type="spellEnd"/>
      <w:r w:rsidRPr="003C385A">
        <w:t>/</w:t>
      </w:r>
      <w:proofErr w:type="spellStart"/>
      <w:r w:rsidRPr="003C385A">
        <w:t>digunakan</w:t>
      </w:r>
      <w:proofErr w:type="spellEnd"/>
      <w:r w:rsidRPr="003C385A">
        <w:t>.</w:t>
      </w:r>
    </w:p>
    <w:p w14:paraId="77D6450D" w14:textId="7DB0F4CD" w:rsidR="006477E2" w:rsidRPr="006477E2" w:rsidRDefault="006477E2" w:rsidP="003C385A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7985A993" w:rsidR="006477E2" w:rsidRPr="00B75566" w:rsidRDefault="00052040" w:rsidP="003526E0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052040">
        <w:rPr>
          <w:rFonts w:ascii="Arial" w:eastAsia="Times New Roman" w:hAnsi="Arial" w:cs="Times New Roman"/>
          <w:szCs w:val="20"/>
          <w:lang w:val="id-ID"/>
        </w:rPr>
        <w:t>Daftar Vendor dan Subkont yang dinilai</w:t>
      </w:r>
    </w:p>
    <w:p w14:paraId="1E778E55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dan </w:t>
      </w:r>
      <w:proofErr w:type="spellStart"/>
      <w:r w:rsidRPr="003526E0">
        <w:rPr>
          <w:rFonts w:ascii="Tahoma" w:hAnsi="Tahoma"/>
        </w:rPr>
        <w:t>Subkontraktor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PPIC.</w:t>
      </w:r>
    </w:p>
    <w:p w14:paraId="6B9C15B6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3526E0">
        <w:rPr>
          <w:rFonts w:ascii="Tahoma" w:hAnsi="Tahoma"/>
        </w:rPr>
        <w:t xml:space="preserve">Lembar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/Sub </w:t>
      </w:r>
      <w:proofErr w:type="spellStart"/>
      <w:r w:rsidRPr="003526E0">
        <w:rPr>
          <w:rFonts w:ascii="Tahoma" w:hAnsi="Tahoma"/>
        </w:rPr>
        <w:t>Kontraktor</w:t>
      </w:r>
      <w:proofErr w:type="spellEnd"/>
      <w:r w:rsidRPr="003526E0">
        <w:rPr>
          <w:rFonts w:ascii="Tahoma" w:hAnsi="Tahoma"/>
        </w:rPr>
        <w:t xml:space="preserve"> (LPKPS)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QC</w:t>
      </w:r>
    </w:p>
    <w:p w14:paraId="5DF9E838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Laporan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HC&amp;GA</w:t>
      </w:r>
    </w:p>
    <w:p w14:paraId="1ADF183E" w14:textId="77777777" w:rsidR="00B75566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3526E0">
        <w:rPr>
          <w:rFonts w:ascii="Tahoma" w:hAnsi="Tahoma"/>
          <w:lang w:val="id-ID"/>
        </w:rPr>
        <w:t>Daftar Pemasok dan Sub Kontraktor</w:t>
      </w:r>
    </w:p>
    <w:p w14:paraId="2018187A" w14:textId="5B31A6F6" w:rsidR="003526E0" w:rsidRPr="00B75566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B75566">
        <w:rPr>
          <w:rFonts w:ascii="Tahoma" w:hAnsi="Tahoma"/>
          <w:lang w:val="id-ID"/>
        </w:rPr>
        <w:t>Ketentuan terhadap Hasil Penilaian Kinerja Pemasok</w:t>
      </w:r>
    </w:p>
    <w:p w14:paraId="486C5F11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3526E0">
        <w:rPr>
          <w:rFonts w:ascii="Tahoma" w:hAnsi="Tahoma"/>
          <w:lang w:val="id-ID"/>
        </w:rPr>
        <w:t xml:space="preserve">Kriteria dan Standard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</w:p>
    <w:p w14:paraId="183871A4" w14:textId="77777777" w:rsidR="00B75566" w:rsidRPr="00B75566" w:rsidRDefault="00B75566" w:rsidP="00B75566">
      <w:pPr>
        <w:widowControl/>
        <w:suppressAutoHyphens/>
        <w:autoSpaceDE/>
        <w:autoSpaceDN/>
        <w:ind w:left="757"/>
        <w:jc w:val="both"/>
        <w:rPr>
          <w:rFonts w:ascii="Tahoma" w:hAnsi="Tahoma"/>
        </w:rPr>
      </w:pPr>
    </w:p>
    <w:p w14:paraId="667590F4" w14:textId="65AD590D" w:rsidR="001A0CF0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7F2A0F2F" w14:textId="12568487" w:rsidR="003526E0" w:rsidRPr="00CC1AA5" w:rsidRDefault="00B75566" w:rsidP="00CC1AA5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052040">
        <w:rPr>
          <w:rFonts w:ascii="Arial" w:eastAsia="Times New Roman" w:hAnsi="Arial" w:cs="Times New Roman"/>
          <w:szCs w:val="20"/>
        </w:rPr>
        <w:t>Formulir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052040">
        <w:rPr>
          <w:rFonts w:ascii="Arial" w:eastAsia="Times New Roman" w:hAnsi="Arial" w:cs="Times New Roman"/>
          <w:szCs w:val="20"/>
        </w:rPr>
        <w:t>Penilaian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052040">
        <w:rPr>
          <w:rFonts w:ascii="Arial" w:eastAsia="Times New Roman" w:hAnsi="Arial" w:cs="Times New Roman"/>
          <w:szCs w:val="20"/>
        </w:rPr>
        <w:t>Pemasok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( FPKP )</w:t>
      </w:r>
    </w:p>
    <w:p w14:paraId="1D3E4883" w14:textId="77777777" w:rsidR="003526E0" w:rsidRPr="001A0CF0" w:rsidRDefault="003526E0" w:rsidP="003526E0">
      <w:pPr>
        <w:widowControl/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</w:p>
    <w:p w14:paraId="2D8731F9" w14:textId="5C4D0232" w:rsidR="0084160A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CB4ABCA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Manual </w:t>
      </w:r>
      <w:proofErr w:type="spellStart"/>
      <w:r w:rsidRPr="00EB6005">
        <w:t>Sistem</w:t>
      </w:r>
      <w:proofErr w:type="spellEnd"/>
      <w:r w:rsidRPr="00EB6005">
        <w:t xml:space="preserve"> </w:t>
      </w:r>
      <w:proofErr w:type="spellStart"/>
      <w:r w:rsidRPr="00EB6005">
        <w:t>Manajemen</w:t>
      </w:r>
      <w:proofErr w:type="spellEnd"/>
      <w:r w:rsidRPr="00EB6005">
        <w:t xml:space="preserve"> </w:t>
      </w:r>
      <w:proofErr w:type="spellStart"/>
      <w:r w:rsidRPr="00EB6005">
        <w:t>Terintegrasi</w:t>
      </w:r>
      <w:proofErr w:type="spellEnd"/>
      <w:r w:rsidRPr="00EB6005">
        <w:t xml:space="preserve"> PT. CINT</w:t>
      </w:r>
    </w:p>
    <w:p w14:paraId="2A2F341C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ISO 9001 : 2015 </w:t>
      </w:r>
      <w:proofErr w:type="spellStart"/>
      <w:r w:rsidRPr="00EB6005">
        <w:t>Elemen</w:t>
      </w:r>
      <w:proofErr w:type="spellEnd"/>
      <w:r w:rsidRPr="00EB6005">
        <w:t xml:space="preserve"> 8.4. </w:t>
      </w:r>
      <w:proofErr w:type="spellStart"/>
      <w:r w:rsidRPr="00EB6005">
        <w:t>Pengendalian</w:t>
      </w:r>
      <w:proofErr w:type="spellEnd"/>
      <w:r w:rsidRPr="00EB6005">
        <w:t xml:space="preserve"> </w:t>
      </w:r>
      <w:proofErr w:type="spellStart"/>
      <w:r w:rsidRPr="00EB6005">
        <w:t>produk</w:t>
      </w:r>
      <w:proofErr w:type="spellEnd"/>
      <w:r w:rsidRPr="00EB6005">
        <w:t xml:space="preserve"> dan </w:t>
      </w:r>
      <w:proofErr w:type="spellStart"/>
      <w:r w:rsidRPr="00EB6005">
        <w:t>layanan</w:t>
      </w:r>
      <w:proofErr w:type="spellEnd"/>
      <w:r w:rsidRPr="00EB6005">
        <w:t xml:space="preserve"> </w:t>
      </w:r>
      <w:proofErr w:type="spellStart"/>
      <w:r w:rsidRPr="00EB6005">
        <w:t>eksternal</w:t>
      </w:r>
      <w:proofErr w:type="spellEnd"/>
      <w:r w:rsidRPr="00EB6005">
        <w:t xml:space="preserve"> yang </w:t>
      </w:r>
      <w:proofErr w:type="spellStart"/>
      <w:r w:rsidRPr="00EB6005">
        <w:t>disediakan</w:t>
      </w:r>
      <w:proofErr w:type="spellEnd"/>
      <w:r w:rsidRPr="00EB6005">
        <w:t xml:space="preserve"> </w:t>
      </w:r>
      <w:r w:rsidRPr="00EB6005">
        <w:rPr>
          <w:i/>
        </w:rPr>
        <w:t>(</w:t>
      </w:r>
      <w:r w:rsidRPr="00EB6005">
        <w:rPr>
          <w:bCs/>
          <w:i/>
          <w:iCs/>
        </w:rPr>
        <w:t>Control of externally provided products and services)</w:t>
      </w:r>
    </w:p>
    <w:p w14:paraId="6FEEEAD7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Prosedur</w:t>
      </w:r>
      <w:proofErr w:type="spellEnd"/>
      <w:r w:rsidRPr="00EB6005">
        <w:t xml:space="preserve"> </w:t>
      </w:r>
      <w:proofErr w:type="spellStart"/>
      <w:r w:rsidRPr="00EB6005">
        <w:t>Pembelian</w:t>
      </w:r>
      <w:proofErr w:type="spellEnd"/>
    </w:p>
    <w:p w14:paraId="3BB41DB0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Permenkes</w:t>
      </w:r>
      <w:proofErr w:type="spellEnd"/>
      <w:r w:rsidRPr="00EB6005">
        <w:t xml:space="preserve"> No. 20 </w:t>
      </w:r>
      <w:proofErr w:type="spellStart"/>
      <w:r w:rsidRPr="00EB6005">
        <w:t>tahun</w:t>
      </w:r>
      <w:proofErr w:type="spellEnd"/>
      <w:r w:rsidRPr="00EB6005">
        <w:t xml:space="preserve"> 2017 : Cara </w:t>
      </w:r>
      <w:proofErr w:type="spellStart"/>
      <w:r w:rsidRPr="00EB6005">
        <w:t>Pembuatan</w:t>
      </w:r>
      <w:proofErr w:type="spellEnd"/>
      <w:r w:rsidRPr="00EB6005">
        <w:t xml:space="preserve"> Alat Kesehatan dan </w:t>
      </w:r>
      <w:proofErr w:type="spellStart"/>
      <w:r w:rsidRPr="00EB6005">
        <w:t>Perbekalan</w:t>
      </w:r>
      <w:proofErr w:type="spellEnd"/>
      <w:r w:rsidRPr="00EB6005">
        <w:t xml:space="preserve"> </w:t>
      </w:r>
      <w:proofErr w:type="spellStart"/>
      <w:r w:rsidRPr="00EB6005">
        <w:t>kesehatan</w:t>
      </w:r>
      <w:proofErr w:type="spellEnd"/>
      <w:r w:rsidRPr="00EB6005">
        <w:t xml:space="preserve"> Rumah </w:t>
      </w:r>
      <w:proofErr w:type="spellStart"/>
      <w:r w:rsidRPr="00EB6005">
        <w:t>Tangga</w:t>
      </w:r>
      <w:proofErr w:type="spellEnd"/>
      <w:r w:rsidRPr="00EB6005">
        <w:t xml:space="preserve"> yang </w:t>
      </w:r>
      <w:proofErr w:type="spellStart"/>
      <w:r w:rsidRPr="00EB6005">
        <w:t>baik</w:t>
      </w:r>
      <w:proofErr w:type="spellEnd"/>
      <w:r w:rsidRPr="00EB6005">
        <w:t>.</w:t>
      </w:r>
    </w:p>
    <w:p w14:paraId="4C934897" w14:textId="0ED3A4E3" w:rsidR="009E1201" w:rsidRDefault="009E1201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sectPr w:rsidR="009E1201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F2E6" w14:textId="77777777" w:rsidR="008F7E3C" w:rsidRDefault="008F7E3C">
      <w:r>
        <w:separator/>
      </w:r>
    </w:p>
  </w:endnote>
  <w:endnote w:type="continuationSeparator" w:id="0">
    <w:p w14:paraId="23717D3B" w14:textId="77777777" w:rsidR="008F7E3C" w:rsidRDefault="008F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F7E3C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F7E3" w14:textId="77777777" w:rsidR="008F7E3C" w:rsidRDefault="008F7E3C">
      <w:r>
        <w:separator/>
      </w:r>
    </w:p>
  </w:footnote>
  <w:footnote w:type="continuationSeparator" w:id="0">
    <w:p w14:paraId="613BE30D" w14:textId="77777777" w:rsidR="008F7E3C" w:rsidRDefault="008F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0A656F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0A656F" w:rsidRDefault="000A656F" w:rsidP="000A656F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316AC6B" w14:textId="77777777" w:rsidR="000A656F" w:rsidRPr="00C94E89" w:rsidRDefault="000A656F" w:rsidP="000A656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A96738" w14:textId="77777777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01E9BC38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>PENILAIAN KINERJA PEMASOK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797783" w14:paraId="3EC18E14" w14:textId="4009D786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D3B809C" w14:textId="6C3F728C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54F951B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BC1432E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03B2A28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lang w:val="id-ID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38CD107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20 Nov 2019</w:t>
                                </w:r>
                              </w:p>
                            </w:tc>
                          </w:tr>
                          <w:tr w:rsidR="00797783" w14:paraId="36E9BBA6" w14:textId="4AF4A69D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2DFE1142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6E8CAE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2BBC9CB1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>Pch Mgr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DD4028C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8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Jan 2024</w:t>
                                </w:r>
                              </w:p>
                            </w:tc>
                          </w:tr>
                          <w:tr w:rsidR="00797783" w14:paraId="20064967" w14:textId="2FD0DE7B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35A2D21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2625F59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28D79D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EC9BA3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o8QEAAL8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0A656F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0A656F" w:rsidRDefault="000A656F" w:rsidP="000A656F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316AC6B" w14:textId="77777777" w:rsidR="000A656F" w:rsidRPr="00C94E89" w:rsidRDefault="000A656F" w:rsidP="000A65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4A96738" w14:textId="77777777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PROSEDUR</w:t>
                          </w:r>
                        </w:p>
                        <w:p w14:paraId="070AC46F" w14:textId="01E9BC38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>PENILAIAN KINERJA PEMASOK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797783" w14:paraId="3EC18E14" w14:textId="4009D786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D3B809C" w14:textId="6C3F728C" w:rsidR="00797783" w:rsidRPr="001A619F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54F951BB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BC1432E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03B2A28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lang w:val="id-ID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38CD107B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 Nov 2019</w:t>
                          </w:r>
                        </w:p>
                      </w:tc>
                    </w:tr>
                    <w:tr w:rsidR="00797783" w14:paraId="36E9BBA6" w14:textId="4AF4A69D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2DFE1142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6E8CAE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2BBC9CB1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>Pch Mgr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DD4028C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8 </w:t>
                          </w:r>
                          <w:r>
                            <w:rPr>
                              <w:b/>
                              <w:sz w:val="20"/>
                            </w:rPr>
                            <w:t>Jan 2024</w:t>
                          </w:r>
                        </w:p>
                      </w:tc>
                    </w:tr>
                    <w:tr w:rsidR="00797783" w14:paraId="20064967" w14:textId="2FD0DE7B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35A2D21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2625F59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28D79DF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EC9BA3F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5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0"/>
  </w:num>
  <w:num w:numId="15">
    <w:abstractNumId w:val="1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52040"/>
    <w:rsid w:val="00077092"/>
    <w:rsid w:val="000A656F"/>
    <w:rsid w:val="000C2CA6"/>
    <w:rsid w:val="00100E47"/>
    <w:rsid w:val="001632ED"/>
    <w:rsid w:val="00171448"/>
    <w:rsid w:val="001A0CF0"/>
    <w:rsid w:val="001A2572"/>
    <w:rsid w:val="001A619F"/>
    <w:rsid w:val="001D0091"/>
    <w:rsid w:val="00205495"/>
    <w:rsid w:val="00211946"/>
    <w:rsid w:val="0022543E"/>
    <w:rsid w:val="00226259"/>
    <w:rsid w:val="00253166"/>
    <w:rsid w:val="00264BB5"/>
    <w:rsid w:val="00270A16"/>
    <w:rsid w:val="00287B46"/>
    <w:rsid w:val="002A7C25"/>
    <w:rsid w:val="003526E0"/>
    <w:rsid w:val="00353695"/>
    <w:rsid w:val="00367F45"/>
    <w:rsid w:val="00390029"/>
    <w:rsid w:val="0039726D"/>
    <w:rsid w:val="003B3EF2"/>
    <w:rsid w:val="003C2607"/>
    <w:rsid w:val="003C385A"/>
    <w:rsid w:val="00436083"/>
    <w:rsid w:val="00460991"/>
    <w:rsid w:val="0046144D"/>
    <w:rsid w:val="00476085"/>
    <w:rsid w:val="004B7199"/>
    <w:rsid w:val="00536A32"/>
    <w:rsid w:val="005404E6"/>
    <w:rsid w:val="0054675B"/>
    <w:rsid w:val="0059379E"/>
    <w:rsid w:val="005B0F71"/>
    <w:rsid w:val="006477E2"/>
    <w:rsid w:val="00693FE4"/>
    <w:rsid w:val="006E5030"/>
    <w:rsid w:val="00735670"/>
    <w:rsid w:val="00766DC3"/>
    <w:rsid w:val="00795A51"/>
    <w:rsid w:val="00797783"/>
    <w:rsid w:val="007B0E10"/>
    <w:rsid w:val="007E34CE"/>
    <w:rsid w:val="008347BC"/>
    <w:rsid w:val="0084160A"/>
    <w:rsid w:val="008C2875"/>
    <w:rsid w:val="008F7E3C"/>
    <w:rsid w:val="00905692"/>
    <w:rsid w:val="00927E76"/>
    <w:rsid w:val="00981CA9"/>
    <w:rsid w:val="009E1201"/>
    <w:rsid w:val="009F6831"/>
    <w:rsid w:val="00A1639A"/>
    <w:rsid w:val="00A32B7C"/>
    <w:rsid w:val="00A46834"/>
    <w:rsid w:val="00A61563"/>
    <w:rsid w:val="00A8031C"/>
    <w:rsid w:val="00AA24C3"/>
    <w:rsid w:val="00AC6CC8"/>
    <w:rsid w:val="00AD213F"/>
    <w:rsid w:val="00AD27F9"/>
    <w:rsid w:val="00AE6001"/>
    <w:rsid w:val="00B75566"/>
    <w:rsid w:val="00B76FFC"/>
    <w:rsid w:val="00B90F67"/>
    <w:rsid w:val="00B913B2"/>
    <w:rsid w:val="00B9168B"/>
    <w:rsid w:val="00B92BBC"/>
    <w:rsid w:val="00BA31E9"/>
    <w:rsid w:val="00BA37C8"/>
    <w:rsid w:val="00BD5C67"/>
    <w:rsid w:val="00C10BC3"/>
    <w:rsid w:val="00C17F4A"/>
    <w:rsid w:val="00C31383"/>
    <w:rsid w:val="00C7294D"/>
    <w:rsid w:val="00C73CA5"/>
    <w:rsid w:val="00C94E89"/>
    <w:rsid w:val="00CA36D4"/>
    <w:rsid w:val="00CC1AA5"/>
    <w:rsid w:val="00CC4FFF"/>
    <w:rsid w:val="00D04E53"/>
    <w:rsid w:val="00D104F9"/>
    <w:rsid w:val="00D10503"/>
    <w:rsid w:val="00D32316"/>
    <w:rsid w:val="00D46009"/>
    <w:rsid w:val="00DC290F"/>
    <w:rsid w:val="00E066CE"/>
    <w:rsid w:val="00E73297"/>
    <w:rsid w:val="00EA790F"/>
    <w:rsid w:val="00EB6005"/>
    <w:rsid w:val="00EC06CC"/>
    <w:rsid w:val="00EE371A"/>
    <w:rsid w:val="00F010FF"/>
    <w:rsid w:val="00F04E25"/>
    <w:rsid w:val="00F36FC2"/>
    <w:rsid w:val="00F70300"/>
    <w:rsid w:val="00F81767"/>
    <w:rsid w:val="00F924E5"/>
    <w:rsid w:val="00FA7F8A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0A656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46</cp:revision>
  <dcterms:created xsi:type="dcterms:W3CDTF">2024-09-12T02:47:00Z</dcterms:created>
  <dcterms:modified xsi:type="dcterms:W3CDTF">2025-04-15T00:52:00Z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