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6C1F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Job description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CF6223">
              <w:rPr>
                <w:rFonts w:ascii="Arial" w:hAnsi="Arial" w:cs="Arial"/>
                <w:lang w:eastAsia="en-US" w:bidi="ar-SA"/>
              </w:rPr>
              <w:t>5</w:t>
            </w:r>
            <w:r w:rsidR="003D2ED7">
              <w:rPr>
                <w:rFonts w:ascii="Arial" w:hAnsi="Arial" w:cs="Arial"/>
                <w:lang w:eastAsia="en-US" w:bidi="ar-SA"/>
              </w:rPr>
              <w:t>.</w:t>
            </w:r>
            <w:r w:rsidR="00CF6223">
              <w:rPr>
                <w:rFonts w:ascii="Arial" w:hAnsi="Arial" w:cs="Arial"/>
                <w:lang w:eastAsia="en-US" w:bidi="ar-SA"/>
              </w:rPr>
              <w:t>3.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F6223">
              <w:rPr>
                <w:rFonts w:ascii="Arial" w:hAnsi="Arial" w:cs="Arial"/>
                <w:lang w:eastAsia="en-US" w:bidi="ar-SA"/>
              </w:rPr>
              <w:t>Peran</w:t>
            </w:r>
            <w:proofErr w:type="spellEnd"/>
            <w:r w:rsidR="00CF6223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F6223">
              <w:rPr>
                <w:rFonts w:ascii="Arial" w:hAnsi="Arial" w:cs="Arial"/>
                <w:lang w:eastAsia="en-US" w:bidi="ar-SA"/>
              </w:rPr>
              <w:t>Organisasi</w:t>
            </w:r>
            <w:proofErr w:type="spellEnd"/>
            <w:r w:rsidR="00CF6223">
              <w:rPr>
                <w:rFonts w:ascii="Arial" w:hAnsi="Arial" w:cs="Arial"/>
                <w:lang w:eastAsia="en-US" w:bidi="ar-SA"/>
              </w:rPr>
              <w:t xml:space="preserve">, </w:t>
            </w:r>
            <w:proofErr w:type="spellStart"/>
            <w:r w:rsidR="00CF6223">
              <w:rPr>
                <w:rFonts w:ascii="Arial" w:hAnsi="Arial" w:cs="Arial"/>
                <w:lang w:eastAsia="en-US" w:bidi="ar-SA"/>
              </w:rPr>
              <w:t>tanggung</w:t>
            </w:r>
            <w:proofErr w:type="spellEnd"/>
            <w:r w:rsidR="00CF6223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F6223">
              <w:rPr>
                <w:rFonts w:ascii="Arial" w:hAnsi="Arial" w:cs="Arial"/>
                <w:lang w:eastAsia="en-US" w:bidi="ar-SA"/>
              </w:rPr>
              <w:t>jawab</w:t>
            </w:r>
            <w:proofErr w:type="spellEnd"/>
            <w:r w:rsidR="00CF6223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F6223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CF6223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F6223">
              <w:rPr>
                <w:rFonts w:ascii="Arial" w:hAnsi="Arial" w:cs="Arial"/>
                <w:lang w:eastAsia="en-US" w:bidi="ar-SA"/>
              </w:rPr>
              <w:t>otoritas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6C1F83" w:rsidP="002838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="002838E9">
              <w:rPr>
                <w:rFonts w:ascii="Arial Narrow" w:hAnsi="Arial Narrow"/>
                <w:sz w:val="22"/>
              </w:rPr>
              <w:t xml:space="preserve"> November</w:t>
            </w:r>
            <w:r w:rsidR="003D2ED7"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Kisti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Riagustina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FNA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6C1F83" w:rsidRDefault="0042259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4225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BA50F5"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 w:rsidR="00422599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422599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  <w:tr w:rsidR="006C1F83" w:rsidTr="00CF622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6C1F83" w:rsidRDefault="006C1F83" w:rsidP="00CF622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6C1F83" w:rsidRPr="00503A63" w:rsidRDefault="006C1F83" w:rsidP="00CF622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B902E3" w:rsidP="00CF62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Finance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 (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FB3C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FB3C9E">
              <w:rPr>
                <w:rFonts w:ascii="Arial" w:hAnsi="Arial" w:cs="Arial"/>
                <w:lang w:eastAsia="en-US" w:bidi="ar-SA"/>
              </w:rPr>
              <w:t xml:space="preserve">7.2. </w:t>
            </w:r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B3C9E">
              <w:rPr>
                <w:rFonts w:ascii="Arial" w:hAnsi="Arial" w:cs="Arial"/>
                <w:lang w:eastAsia="en-US" w:bidi="ar-SA"/>
              </w:rPr>
              <w:t>Kompetensi</w:t>
            </w:r>
            <w:proofErr w:type="spellEnd"/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FB3C9E" w:rsidP="00CF622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FB3C9E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Kisty  </w:t>
            </w:r>
            <w:proofErr w:type="spellStart"/>
            <w:r>
              <w:rPr>
                <w:rFonts w:ascii="Arial Narrow" w:hAnsi="Arial Narrow"/>
                <w:sz w:val="22"/>
              </w:rPr>
              <w:t>Riagustina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C1F83" w:rsidRDefault="006C1F83" w:rsidP="00CF62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C1F83" w:rsidRDefault="006C1F83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FB3C9E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FNA</w:t>
            </w:r>
          </w:p>
        </w:tc>
        <w:tc>
          <w:tcPr>
            <w:tcW w:w="36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FB3C9E" w:rsidP="00CF622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4207A9" w:rsidP="00CF62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3C9E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="00FB3C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3C9E">
              <w:rPr>
                <w:rFonts w:ascii="Arial Narrow" w:hAnsi="Arial Narrow"/>
                <w:sz w:val="22"/>
              </w:rPr>
              <w:t>belum</w:t>
            </w:r>
            <w:proofErr w:type="spellEnd"/>
            <w:r w:rsidR="00FB3C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3C9E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FB3C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3C9E">
              <w:rPr>
                <w:rFonts w:ascii="Arial Narrow" w:hAnsi="Arial Narrow"/>
                <w:sz w:val="22"/>
              </w:rPr>
              <w:t>karena</w:t>
            </w:r>
            <w:proofErr w:type="spellEnd"/>
            <w:r w:rsidR="00FB3C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3C9E">
              <w:rPr>
                <w:rFonts w:ascii="Arial Narrow" w:hAnsi="Arial Narrow"/>
                <w:sz w:val="22"/>
              </w:rPr>
              <w:t>sebelumnya</w:t>
            </w:r>
            <w:proofErr w:type="spellEnd"/>
            <w:r w:rsidR="00FB3C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3C9E">
              <w:rPr>
                <w:rFonts w:ascii="Arial Narrow" w:hAnsi="Arial Narrow"/>
                <w:sz w:val="22"/>
              </w:rPr>
              <w:t>menjadi</w:t>
            </w:r>
            <w:proofErr w:type="spellEnd"/>
            <w:r w:rsidR="00FB3C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3C9E">
              <w:rPr>
                <w:rFonts w:ascii="Arial Narrow" w:hAnsi="Arial Narrow"/>
                <w:sz w:val="22"/>
              </w:rPr>
              <w:t>wewenang</w:t>
            </w:r>
            <w:proofErr w:type="spellEnd"/>
            <w:r w:rsidR="00FB3C9E">
              <w:rPr>
                <w:rFonts w:ascii="Arial Narrow" w:hAnsi="Arial Narrow"/>
                <w:sz w:val="22"/>
              </w:rPr>
              <w:t xml:space="preserve"> HC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3A2814" w:rsidP="00CF62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>
              <w:rPr>
                <w:rFonts w:ascii="Arial Narrow" w:hAnsi="Arial Narrow"/>
                <w:sz w:val="22"/>
              </w:rPr>
              <w:t>terbaru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3A281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4207A9"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 w:rsidR="003A2814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3A2814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C1F83" w:rsidTr="00CF622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C1F83" w:rsidRDefault="006C1F83" w:rsidP="00CF6223">
            <w:pPr>
              <w:snapToGrid w:val="0"/>
            </w:pPr>
          </w:p>
        </w:tc>
      </w:tr>
    </w:tbl>
    <w:p w:rsidR="006C1F83" w:rsidRDefault="006C1F83" w:rsidP="006C1F83"/>
    <w:p w:rsidR="003F7AEE" w:rsidRDefault="003F7AEE" w:rsidP="00B92BB0"/>
    <w:p w:rsidR="00192236" w:rsidRDefault="00192236" w:rsidP="00B92BB0"/>
    <w:p w:rsidR="00192236" w:rsidRDefault="00192236" w:rsidP="00B92BB0"/>
    <w:p w:rsidR="00192236" w:rsidRDefault="00192236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92236" w:rsidTr="00CF622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192236" w:rsidRDefault="00192236" w:rsidP="00CF622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192236" w:rsidRPr="00503A63" w:rsidRDefault="00192236" w:rsidP="00CF622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Peluang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Finance semester </w:t>
            </w:r>
            <w:proofErr w:type="spellStart"/>
            <w:r>
              <w:rPr>
                <w:rFonts w:ascii="Arial Narrow" w:hAnsi="Arial Narrow"/>
                <w:sz w:val="22"/>
              </w:rPr>
              <w:t>pertama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D30AB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1D30AB">
              <w:rPr>
                <w:rFonts w:ascii="Arial Narrow" w:hAnsi="Arial Narrow"/>
                <w:b/>
                <w:sz w:val="22"/>
              </w:rPr>
              <w:t>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1D30AB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1D30AB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1D30AB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Kisty </w:t>
            </w:r>
            <w:proofErr w:type="spellStart"/>
            <w:r>
              <w:rPr>
                <w:rFonts w:ascii="Arial Narrow" w:hAnsi="Arial Narrow"/>
                <w:sz w:val="22"/>
              </w:rPr>
              <w:t>Riagustina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92236" w:rsidRDefault="00192236" w:rsidP="00CF62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192236" w:rsidRDefault="00192236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FNA</w:t>
            </w:r>
          </w:p>
        </w:tc>
        <w:tc>
          <w:tcPr>
            <w:tcW w:w="36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7443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2B5154">
              <w:rPr>
                <w:rFonts w:ascii="Arial Narrow" w:hAnsi="Arial Narrow"/>
                <w:sz w:val="22"/>
              </w:rPr>
              <w:t xml:space="preserve">26 </w:t>
            </w:r>
            <w:r w:rsidR="0074433D">
              <w:rPr>
                <w:rFonts w:ascii="Arial Narrow" w:hAnsi="Arial Narrow"/>
                <w:sz w:val="22"/>
              </w:rPr>
              <w:t>Desember 2019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92236" w:rsidTr="00CF622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192236" w:rsidRDefault="00192236" w:rsidP="00CF6223">
            <w:pPr>
              <w:snapToGrid w:val="0"/>
            </w:pPr>
          </w:p>
        </w:tc>
      </w:tr>
    </w:tbl>
    <w:p w:rsidR="00192236" w:rsidRDefault="00192236" w:rsidP="00192236"/>
    <w:p w:rsidR="00192236" w:rsidRDefault="00192236" w:rsidP="00192236"/>
    <w:sectPr w:rsidR="00192236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C9E" w:rsidRDefault="00FB3C9E">
      <w:r>
        <w:separator/>
      </w:r>
    </w:p>
  </w:endnote>
  <w:endnote w:type="continuationSeparator" w:id="1">
    <w:p w:rsidR="00FB3C9E" w:rsidRDefault="00FB3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C9E" w:rsidRDefault="00FB3C9E">
      <w:r>
        <w:separator/>
      </w:r>
    </w:p>
  </w:footnote>
  <w:footnote w:type="continuationSeparator" w:id="1">
    <w:p w:rsidR="00FB3C9E" w:rsidRDefault="00FB3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9E" w:rsidRDefault="004913EB">
    <w:pPr>
      <w:pStyle w:val="Header"/>
      <w:ind w:left="1260" w:hanging="270"/>
      <w:rPr>
        <w:rFonts w:ascii="Arial" w:hAnsi="Arial"/>
        <w:b/>
        <w:sz w:val="32"/>
      </w:rPr>
    </w:pPr>
    <w:r w:rsidRPr="004913E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FB3C9E">
      <w:rPr>
        <w:rFonts w:ascii="Arial" w:hAnsi="Arial"/>
        <w:b/>
        <w:sz w:val="32"/>
      </w:rPr>
      <w:t>TEAM ISO 9001:2008</w:t>
    </w:r>
  </w:p>
  <w:p w:rsidR="00FB3C9E" w:rsidRDefault="00FB3C9E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FB3C9E" w:rsidRDefault="00FB3C9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FB3C9E" w:rsidRDefault="004913EB">
    <w:pPr>
      <w:pStyle w:val="Header"/>
      <w:ind w:left="1260" w:hanging="270"/>
      <w:rPr>
        <w:rFonts w:ascii="Arial" w:hAnsi="Arial"/>
        <w:sz w:val="16"/>
      </w:rPr>
    </w:pPr>
    <w:r w:rsidRPr="004913EB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E2423"/>
    <w:rsid w:val="00105AEA"/>
    <w:rsid w:val="00192236"/>
    <w:rsid w:val="001B6FDE"/>
    <w:rsid w:val="001D30AB"/>
    <w:rsid w:val="001E0835"/>
    <w:rsid w:val="00260C93"/>
    <w:rsid w:val="002838E9"/>
    <w:rsid w:val="002B5154"/>
    <w:rsid w:val="00303E28"/>
    <w:rsid w:val="00315C11"/>
    <w:rsid w:val="003459E4"/>
    <w:rsid w:val="003A2814"/>
    <w:rsid w:val="003A75D8"/>
    <w:rsid w:val="003D2ED7"/>
    <w:rsid w:val="003F7AEE"/>
    <w:rsid w:val="004207A9"/>
    <w:rsid w:val="00422599"/>
    <w:rsid w:val="00437A4C"/>
    <w:rsid w:val="0045375A"/>
    <w:rsid w:val="00467187"/>
    <w:rsid w:val="004739A1"/>
    <w:rsid w:val="004913EB"/>
    <w:rsid w:val="00503A63"/>
    <w:rsid w:val="005347CC"/>
    <w:rsid w:val="005D3FEE"/>
    <w:rsid w:val="00632189"/>
    <w:rsid w:val="00661432"/>
    <w:rsid w:val="00666631"/>
    <w:rsid w:val="00696840"/>
    <w:rsid w:val="006B207C"/>
    <w:rsid w:val="006C1F83"/>
    <w:rsid w:val="0074433D"/>
    <w:rsid w:val="00762B10"/>
    <w:rsid w:val="007F5E7E"/>
    <w:rsid w:val="00851A02"/>
    <w:rsid w:val="00876C0E"/>
    <w:rsid w:val="00921DE7"/>
    <w:rsid w:val="00947937"/>
    <w:rsid w:val="00953E00"/>
    <w:rsid w:val="009F5375"/>
    <w:rsid w:val="009F7E27"/>
    <w:rsid w:val="00A9631D"/>
    <w:rsid w:val="00B840AC"/>
    <w:rsid w:val="00B902E3"/>
    <w:rsid w:val="00B92BB0"/>
    <w:rsid w:val="00BA50F5"/>
    <w:rsid w:val="00BD2489"/>
    <w:rsid w:val="00C53DDD"/>
    <w:rsid w:val="00CD4871"/>
    <w:rsid w:val="00CD5129"/>
    <w:rsid w:val="00CF6223"/>
    <w:rsid w:val="00D6178C"/>
    <w:rsid w:val="00DC2477"/>
    <w:rsid w:val="00DD47FD"/>
    <w:rsid w:val="00E054EA"/>
    <w:rsid w:val="00E52A56"/>
    <w:rsid w:val="00F07184"/>
    <w:rsid w:val="00F66711"/>
    <w:rsid w:val="00FA0FE0"/>
    <w:rsid w:val="00FB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14</cp:revision>
  <cp:lastPrinted>2019-12-13T02:10:00Z</cp:lastPrinted>
  <dcterms:created xsi:type="dcterms:W3CDTF">2019-11-08T05:55:00Z</dcterms:created>
  <dcterms:modified xsi:type="dcterms:W3CDTF">2019-12-26T06:13:00Z</dcterms:modified>
</cp:coreProperties>
</file>