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098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213"/>
        <w:gridCol w:w="70"/>
        <w:gridCol w:w="200"/>
        <w:gridCol w:w="3150"/>
      </w:tblGrid>
      <w:tr w:rsidR="00E33D3F" w:rsidTr="00527340">
        <w:tc>
          <w:tcPr>
            <w:tcW w:w="10980" w:type="dxa"/>
            <w:gridSpan w:val="13"/>
          </w:tcPr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ENSI</w:t>
            </w:r>
          </w:p>
          <w:p w:rsidR="00E33D3F" w:rsidRDefault="00E33D3F" w:rsidP="00E33D3F">
            <w:pPr>
              <w:jc w:val="center"/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</w:tc>
      </w:tr>
      <w:tr w:rsidR="0097717A" w:rsidTr="00D96F49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Default="00904894" w:rsidP="004104FA">
            <w:proofErr w:type="spellStart"/>
            <w:r>
              <w:t>Rabu</w:t>
            </w:r>
            <w:proofErr w:type="spellEnd"/>
            <w:r w:rsidR="00FE1D2F">
              <w:t xml:space="preserve">, </w:t>
            </w:r>
            <w:r>
              <w:t xml:space="preserve">22 </w:t>
            </w:r>
            <w:proofErr w:type="spellStart"/>
            <w:r>
              <w:t>januari</w:t>
            </w:r>
            <w:proofErr w:type="spellEnd"/>
            <w:r>
              <w:t xml:space="preserve"> 2020</w:t>
            </w:r>
          </w:p>
          <w:p w:rsidR="0097717A" w:rsidRPr="00E33D3F" w:rsidRDefault="0097717A" w:rsidP="00904894">
            <w:proofErr w:type="spellStart"/>
            <w:r>
              <w:t>Pukul</w:t>
            </w:r>
            <w:proofErr w:type="spellEnd"/>
            <w:r>
              <w:t xml:space="preserve"> </w:t>
            </w:r>
            <w:r w:rsidR="00904894">
              <w:t>08.30</w:t>
            </w:r>
            <w:r w:rsidR="00FE1D2F">
              <w:t xml:space="preserve"> s/d </w:t>
            </w:r>
            <w:r w:rsidR="00904894">
              <w:t>09</w:t>
            </w:r>
            <w:r w:rsidR="0064288D">
              <w:t>.</w:t>
            </w:r>
            <w:r w:rsidR="00904894">
              <w:t>15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96F49">
        <w:trPr>
          <w:trHeight w:val="116"/>
        </w:trPr>
        <w:tc>
          <w:tcPr>
            <w:tcW w:w="1098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96F49">
        <w:tc>
          <w:tcPr>
            <w:tcW w:w="2073" w:type="dxa"/>
          </w:tcPr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D96F49" w:rsidRDefault="00D96F49" w:rsidP="004104FA">
            <w:r>
              <w:t>:</w:t>
            </w:r>
          </w:p>
        </w:tc>
        <w:tc>
          <w:tcPr>
            <w:tcW w:w="8640" w:type="dxa"/>
            <w:gridSpan w:val="11"/>
          </w:tcPr>
          <w:p w:rsidR="006524E7" w:rsidRDefault="006524E7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Hasil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Mutu</w:t>
            </w:r>
            <w:proofErr w:type="spellEnd"/>
            <w:r>
              <w:rPr>
                <w:bCs/>
                <w:sz w:val="24"/>
                <w:szCs w:val="24"/>
              </w:rPr>
              <w:t xml:space="preserve"> Internal </w:t>
            </w:r>
            <w:r w:rsidR="00904894">
              <w:rPr>
                <w:bCs/>
                <w:sz w:val="24"/>
                <w:szCs w:val="24"/>
              </w:rPr>
              <w:t xml:space="preserve">semester-2 </w:t>
            </w:r>
            <w:proofErr w:type="spellStart"/>
            <w:r w:rsidR="00904894">
              <w:rPr>
                <w:bCs/>
                <w:sz w:val="24"/>
                <w:szCs w:val="24"/>
              </w:rPr>
              <w:t>tahun</w:t>
            </w:r>
            <w:proofErr w:type="spellEnd"/>
            <w:r w:rsidR="00904894">
              <w:rPr>
                <w:bCs/>
                <w:sz w:val="24"/>
                <w:szCs w:val="24"/>
              </w:rPr>
              <w:t xml:space="preserve"> 2019</w:t>
            </w:r>
          </w:p>
          <w:p w:rsidR="00BE734D" w:rsidRDefault="00BE734D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tindak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lanjut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dari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sebelumnya</w:t>
            </w:r>
            <w:proofErr w:type="spellEnd"/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Perubahan didalam informasi eksternal dan internal mengenai rel</w:t>
            </w:r>
            <w:r w:rsidR="00AF000E">
              <w:rPr>
                <w:bCs/>
                <w:sz w:val="24"/>
                <w:szCs w:val="24"/>
              </w:rPr>
              <w:t>e</w:t>
            </w:r>
            <w:r w:rsidRPr="00D96F49">
              <w:rPr>
                <w:bCs/>
                <w:sz w:val="24"/>
                <w:szCs w:val="24"/>
                <w:lang w:val="id-ID"/>
              </w:rPr>
              <w:t>vansi sistem manajemen mutu.</w:t>
            </w:r>
          </w:p>
          <w:p w:rsidR="00904894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Informasi mengenai kinerja dan efektifitas Sistem manajemen</w:t>
            </w:r>
            <w:r w:rsidR="00904894">
              <w:rPr>
                <w:bCs/>
                <w:sz w:val="24"/>
                <w:szCs w:val="24"/>
                <w:lang w:val="id-ID"/>
              </w:rPr>
              <w:t xml:space="preserve"> mutu </w:t>
            </w:r>
          </w:p>
          <w:p w:rsidR="00AF000E" w:rsidRDefault="00886D61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Sumber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daya</w:t>
            </w:r>
            <w:proofErr w:type="spellEnd"/>
          </w:p>
          <w:p w:rsidR="00033F12" w:rsidRPr="00D96F49" w:rsidRDefault="00033F12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Status tindakan dari tinjauan manajemen sebelumnya</w:t>
            </w:r>
          </w:p>
          <w:p w:rsidR="00D96F49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Efektifitas tindakan yang diambil untuk memenuhi resiko dan peluang.</w:t>
            </w:r>
          </w:p>
          <w:p w:rsidR="00D96F49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Peluang untuk peningkatan atau perbaikan</w:t>
            </w:r>
          </w:p>
          <w:p w:rsidR="00D96F49" w:rsidRDefault="00D96F49" w:rsidP="004104FA"/>
        </w:tc>
      </w:tr>
      <w:tr w:rsidR="0097717A" w:rsidTr="00527340">
        <w:tc>
          <w:tcPr>
            <w:tcW w:w="10980" w:type="dxa"/>
            <w:gridSpan w:val="13"/>
          </w:tcPr>
          <w:p w:rsidR="0097717A" w:rsidRDefault="00CF2711" w:rsidP="00033F12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Default="00CF2711" w:rsidP="00CF2711">
            <w:pPr>
              <w:rPr>
                <w:b/>
                <w:u w:val="single"/>
              </w:rPr>
            </w:pP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03677F">
        <w:trPr>
          <w:trHeight w:val="3401"/>
        </w:trPr>
        <w:tc>
          <w:tcPr>
            <w:tcW w:w="7560" w:type="dxa"/>
            <w:gridSpan w:val="10"/>
          </w:tcPr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="007700A4">
              <w:t xml:space="preserve">5.3. </w:t>
            </w:r>
            <w:proofErr w:type="spellStart"/>
            <w:r w:rsidR="007700A4">
              <w:t>Peran</w:t>
            </w:r>
            <w:proofErr w:type="spellEnd"/>
            <w:r w:rsidR="007700A4">
              <w:t xml:space="preserve"> </w:t>
            </w:r>
            <w:proofErr w:type="spellStart"/>
            <w:r w:rsidR="007700A4">
              <w:t>Organisasi</w:t>
            </w:r>
            <w:proofErr w:type="spellEnd"/>
            <w:r w:rsidR="007700A4">
              <w:t xml:space="preserve">, </w:t>
            </w:r>
            <w:proofErr w:type="spellStart"/>
            <w:r w:rsidR="007700A4">
              <w:t>tanggung</w:t>
            </w:r>
            <w:proofErr w:type="spellEnd"/>
            <w:r w:rsidR="007700A4">
              <w:t xml:space="preserve"> </w:t>
            </w:r>
            <w:proofErr w:type="spellStart"/>
            <w:r w:rsidR="007700A4">
              <w:t>jawab</w:t>
            </w:r>
            <w:proofErr w:type="spellEnd"/>
            <w:r w:rsidR="007700A4">
              <w:t xml:space="preserve"> </w:t>
            </w:r>
            <w:proofErr w:type="spellStart"/>
            <w:r w:rsidR="007700A4">
              <w:t>dan</w:t>
            </w:r>
            <w:proofErr w:type="spellEnd"/>
            <w:r w:rsidR="007700A4">
              <w:t xml:space="preserve"> </w:t>
            </w:r>
            <w:proofErr w:type="spellStart"/>
            <w:r w:rsidR="007700A4">
              <w:t>otoritas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6.1</w:t>
            </w:r>
            <w:r w:rsidRPr="00E20796">
              <w:t xml:space="preserve">. </w:t>
            </w:r>
            <w:proofErr w:type="spellStart"/>
            <w:r w:rsidR="006524E7" w:rsidRPr="00E20796">
              <w:t>Tindakan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Untuk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menangani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resiko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dan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peluang</w:t>
            </w:r>
            <w:proofErr w:type="spellEnd"/>
            <w:r w:rsidRPr="00E20796">
              <w:t xml:space="preserve">  </w:t>
            </w:r>
          </w:p>
          <w:p w:rsidR="0003677F" w:rsidRDefault="0064288D" w:rsidP="003A29B1">
            <w:pPr>
              <w:ind w:left="792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>7.1.4</w:t>
            </w:r>
            <w:r w:rsidR="0003677F">
              <w:rPr>
                <w:bCs/>
              </w:rPr>
              <w:t>.</w:t>
            </w:r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Lingkungan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untuk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pengoperasian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proses</w:t>
            </w:r>
            <w:proofErr w:type="spellEnd"/>
          </w:p>
          <w:p w:rsidR="002233D0" w:rsidRPr="00E20796" w:rsidRDefault="0003677F" w:rsidP="003A29B1">
            <w:pPr>
              <w:ind w:left="792"/>
            </w:pPr>
            <w:proofErr w:type="spellStart"/>
            <w:r>
              <w:rPr>
                <w:bCs/>
              </w:rPr>
              <w:t>Elemen</w:t>
            </w:r>
            <w:proofErr w:type="spellEnd"/>
            <w:r>
              <w:rPr>
                <w:bCs/>
              </w:rPr>
              <w:t xml:space="preserve"> 7.1.5.2. </w:t>
            </w:r>
            <w:proofErr w:type="spellStart"/>
            <w:r>
              <w:rPr>
                <w:bCs/>
              </w:rPr>
              <w:t>Ketelusuran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Pengukuran</w:t>
            </w:r>
            <w:proofErr w:type="spellEnd"/>
            <w:r w:rsidR="0064288D" w:rsidRPr="0064288D">
              <w:rPr>
                <w:bCs/>
              </w:rPr>
              <w:t xml:space="preserve">  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842E37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7.2</w:t>
            </w:r>
            <w:r w:rsidRPr="00E20796">
              <w:t xml:space="preserve">. </w:t>
            </w:r>
            <w:proofErr w:type="spellStart"/>
            <w:r w:rsidR="006524E7" w:rsidRPr="00E20796">
              <w:t>Kompetensi</w:t>
            </w:r>
            <w:proofErr w:type="spellEnd"/>
            <w:r w:rsidRPr="00E20796">
              <w:t xml:space="preserve">   </w:t>
            </w:r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 </w:t>
            </w:r>
            <w:proofErr w:type="spellStart"/>
            <w:r w:rsidRPr="00E20796">
              <w:rPr>
                <w:bCs/>
              </w:rPr>
              <w:t>Pengendalian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produk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layanan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eksternal</w:t>
            </w:r>
            <w:proofErr w:type="spellEnd"/>
            <w:r w:rsidRPr="00E20796">
              <w:rPr>
                <w:bCs/>
              </w:rPr>
              <w:t xml:space="preserve"> yang </w:t>
            </w:r>
            <w:proofErr w:type="spellStart"/>
            <w:r w:rsidRPr="00E20796">
              <w:rPr>
                <w:bCs/>
              </w:rPr>
              <w:t>disediakan</w:t>
            </w:r>
            <w:proofErr w:type="spellEnd"/>
            <w:r w:rsidRPr="00E20796">
              <w:t xml:space="preserve"> </w:t>
            </w:r>
          </w:p>
          <w:p w:rsidR="0003677F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      </w:t>
            </w:r>
          </w:p>
          <w:p w:rsidR="00842E37" w:rsidRPr="00E20796" w:rsidRDefault="0003677F" w:rsidP="00842E37">
            <w:pPr>
              <w:ind w:left="792"/>
            </w:pPr>
            <w:proofErr w:type="spellStart"/>
            <w:r>
              <w:rPr>
                <w:bCs/>
                <w:color w:val="000000"/>
              </w:rPr>
              <w:t>Elemen</w:t>
            </w:r>
            <w:proofErr w:type="spellEnd"/>
            <w:r>
              <w:rPr>
                <w:bCs/>
                <w:color w:val="000000"/>
              </w:rPr>
              <w:t xml:space="preserve"> 8.4.3. Informasi </w:t>
            </w:r>
            <w:proofErr w:type="spellStart"/>
            <w:r>
              <w:rPr>
                <w:bCs/>
                <w:color w:val="000000"/>
              </w:rPr>
              <w:t>untuk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penyedia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eksternal</w:t>
            </w:r>
            <w:proofErr w:type="spellEnd"/>
            <w:r w:rsidR="00842E37" w:rsidRPr="00E20796">
              <w:rPr>
                <w:bCs/>
                <w:color w:val="000000"/>
              </w:rPr>
              <w:t xml:space="preserve">                                         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  </w:t>
            </w:r>
          </w:p>
          <w:p w:rsidR="005D1762" w:rsidRPr="0003677F" w:rsidRDefault="00842E37" w:rsidP="0003677F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 </w:t>
            </w:r>
            <w:r w:rsidR="002233D0" w:rsidRPr="00E20796">
              <w:t xml:space="preserve">      </w:t>
            </w:r>
          </w:p>
          <w:p w:rsidR="006524E7" w:rsidRPr="002233D0" w:rsidRDefault="00E20796" w:rsidP="003A29B1">
            <w:pPr>
              <w:ind w:left="792"/>
            </w:pPr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70" w:type="dxa"/>
            <w:gridSpan w:val="2"/>
          </w:tcPr>
          <w:p w:rsidR="002233D0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03677F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/>
          <w:p w:rsidR="001E3E1F" w:rsidRDefault="001E3E1F" w:rsidP="002233D0">
            <w:r>
              <w:t>:</w:t>
            </w:r>
          </w:p>
          <w:p w:rsidR="001E3E1F" w:rsidRDefault="0003677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03677F" w:rsidRPr="00CF2711" w:rsidRDefault="0003677F" w:rsidP="002233D0">
            <w:pPr>
              <w:rPr>
                <w:b/>
                <w:u w:val="single"/>
              </w:rPr>
            </w:pPr>
            <w:r>
              <w:t>:</w:t>
            </w:r>
          </w:p>
        </w:tc>
        <w:tc>
          <w:tcPr>
            <w:tcW w:w="3150" w:type="dxa"/>
          </w:tcPr>
          <w:p w:rsidR="002233D0" w:rsidRDefault="007700A4" w:rsidP="002778D1">
            <w:pPr>
              <w:tabs>
                <w:tab w:val="left" w:pos="279"/>
              </w:tabs>
              <w:ind w:left="279" w:hanging="279"/>
            </w:pPr>
            <w:r>
              <w:t>3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7700A4" w:rsidP="002778D1">
            <w:pPr>
              <w:ind w:left="189" w:hanging="189"/>
            </w:pPr>
            <w:r>
              <w:t>9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proofErr w:type="spellEnd"/>
            <w:r w:rsidR="002233D0">
              <w:t xml:space="preserve"> </w:t>
            </w:r>
            <w:proofErr w:type="spellStart"/>
            <w:r w:rsidR="002233D0">
              <w:t>sesuaian</w:t>
            </w:r>
            <w:proofErr w:type="spellEnd"/>
          </w:p>
          <w:p w:rsidR="002233D0" w:rsidRDefault="0003677F" w:rsidP="002778D1">
            <w:pPr>
              <w:ind w:left="189" w:hanging="189"/>
            </w:pPr>
            <w:r>
              <w:t>2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3A29B1" w:rsidRDefault="0003677F" w:rsidP="002778D1">
            <w:pPr>
              <w:ind w:left="189" w:hanging="189"/>
            </w:pPr>
            <w:r>
              <w:t>1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2829DC" w:rsidP="002778D1">
            <w:pPr>
              <w:ind w:left="189" w:hanging="189"/>
            </w:pPr>
            <w: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778D1" w:rsidRDefault="0003677F" w:rsidP="002778D1">
            <w:pPr>
              <w:ind w:left="189" w:hanging="189"/>
            </w:pPr>
            <w:r>
              <w:t>9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2829DC" w:rsidP="002778D1">
            <w:pPr>
              <w:ind w:left="189" w:hanging="189"/>
            </w:pPr>
          </w:p>
          <w:p w:rsidR="002829DC" w:rsidRDefault="0003677F" w:rsidP="002778D1">
            <w:pPr>
              <w:ind w:left="189" w:hanging="189"/>
            </w:pPr>
            <w:r>
              <w:t>2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4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2</w:t>
            </w:r>
            <w:r w:rsidR="005D1762">
              <w:t xml:space="preserve">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672683" w:rsidRPr="00824BD2" w:rsidRDefault="00672683" w:rsidP="002829DC">
            <w:pPr>
              <w:ind w:left="189" w:hanging="189"/>
            </w:pPr>
          </w:p>
        </w:tc>
      </w:tr>
      <w:tr w:rsidR="002233D0" w:rsidTr="00527340">
        <w:tc>
          <w:tcPr>
            <w:tcW w:w="1098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453420">
        <w:trPr>
          <w:trHeight w:val="2555"/>
        </w:trPr>
        <w:tc>
          <w:tcPr>
            <w:tcW w:w="5938" w:type="dxa"/>
            <w:gridSpan w:val="6"/>
          </w:tcPr>
          <w:p w:rsidR="000949D3" w:rsidRDefault="00692AE1" w:rsidP="000949D3">
            <w:pPr>
              <w:ind w:left="792"/>
            </w:pPr>
            <w:r>
              <w:t>R&amp;D</w:t>
            </w:r>
            <w:r w:rsidR="000949D3" w:rsidRPr="000949D3">
              <w:t xml:space="preserve"> </w:t>
            </w:r>
          </w:p>
          <w:p w:rsidR="00692AE1" w:rsidRPr="000949D3" w:rsidRDefault="00692AE1" w:rsidP="00692AE1">
            <w:pPr>
              <w:ind w:left="792"/>
            </w:pPr>
            <w:r>
              <w:t>Sales &amp; Marketing</w:t>
            </w:r>
          </w:p>
          <w:p w:rsidR="00CD4743" w:rsidRPr="000949D3" w:rsidRDefault="00692AE1" w:rsidP="00CD4743">
            <w:pPr>
              <w:ind w:left="792"/>
            </w:pPr>
            <w:r>
              <w:t>PPIC</w:t>
            </w:r>
          </w:p>
          <w:p w:rsidR="000949D3" w:rsidRDefault="001846B3" w:rsidP="000949D3">
            <w:pPr>
              <w:ind w:left="792"/>
            </w:pPr>
            <w:r>
              <w:t>Q</w:t>
            </w:r>
            <w:r w:rsidR="00692AE1">
              <w:t>C</w:t>
            </w:r>
          </w:p>
          <w:p w:rsidR="001846B3" w:rsidRDefault="00692AE1" w:rsidP="000949D3">
            <w:pPr>
              <w:ind w:left="792"/>
            </w:pPr>
            <w:proofErr w:type="spellStart"/>
            <w:r>
              <w:t>Produksi</w:t>
            </w:r>
            <w:proofErr w:type="spellEnd"/>
            <w:r w:rsidR="00CE5670">
              <w:t xml:space="preserve"> Steel</w:t>
            </w:r>
          </w:p>
          <w:p w:rsidR="00CE5670" w:rsidRPr="000949D3" w:rsidRDefault="00CE5670" w:rsidP="000949D3">
            <w:pPr>
              <w:ind w:left="792"/>
            </w:pPr>
            <w:proofErr w:type="spellStart"/>
            <w:r>
              <w:t>Produksi</w:t>
            </w:r>
            <w:proofErr w:type="spellEnd"/>
            <w:r>
              <w:t xml:space="preserve"> NSB</w:t>
            </w:r>
          </w:p>
          <w:p w:rsidR="000949D3" w:rsidRPr="000949D3" w:rsidRDefault="00CE5670" w:rsidP="000949D3">
            <w:pPr>
              <w:ind w:left="792"/>
            </w:pPr>
            <w:r>
              <w:t>HC &amp; GA</w:t>
            </w:r>
          </w:p>
          <w:p w:rsidR="000949D3" w:rsidRDefault="00CE5670" w:rsidP="00602E55">
            <w:pPr>
              <w:ind w:left="792"/>
            </w:pPr>
            <w:r>
              <w:t>PCH</w:t>
            </w:r>
          </w:p>
          <w:p w:rsidR="00F97D72" w:rsidRPr="00602E55" w:rsidRDefault="00453420" w:rsidP="00453420">
            <w:pPr>
              <w:ind w:left="792"/>
            </w:pPr>
            <w:r>
              <w:t>FNA</w:t>
            </w:r>
          </w:p>
        </w:tc>
        <w:tc>
          <w:tcPr>
            <w:tcW w:w="236" w:type="dxa"/>
          </w:tcPr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F97D72" w:rsidRPr="00CD4743" w:rsidRDefault="00F97D72" w:rsidP="00CD4743">
            <w:r>
              <w:t>:</w:t>
            </w:r>
          </w:p>
        </w:tc>
        <w:tc>
          <w:tcPr>
            <w:tcW w:w="4806" w:type="dxa"/>
            <w:gridSpan w:val="6"/>
          </w:tcPr>
          <w:p w:rsidR="00EF44E9" w:rsidRDefault="00CE5670" w:rsidP="000949D3">
            <w:pPr>
              <w:ind w:left="16"/>
            </w:pPr>
            <w:r>
              <w:t>1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CE5670" w:rsidP="001846B3">
            <w:pPr>
              <w:ind w:left="16"/>
            </w:pPr>
            <w:r>
              <w:t>3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CE5670" w:rsidP="000949D3">
            <w:pPr>
              <w:ind w:left="16"/>
            </w:pPr>
            <w:r>
              <w:t xml:space="preserve">6  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CE5670" w:rsidP="000949D3">
            <w:pPr>
              <w:ind w:left="16"/>
            </w:pPr>
            <w:r>
              <w:t>2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CE5670" w:rsidP="001846B3">
            <w:pPr>
              <w:ind w:left="16"/>
            </w:pPr>
            <w:r>
              <w:t>6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5F11E4" w:rsidP="000949D3">
            <w:pPr>
              <w:ind w:left="16"/>
            </w:pPr>
            <w:r>
              <w:t>8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5F11E4" w:rsidP="00602E55">
            <w:pPr>
              <w:ind w:left="16"/>
            </w:pPr>
            <w:r>
              <w:t>1</w:t>
            </w:r>
            <w:r w:rsidR="00AE5F75">
              <w:t xml:space="preserve">  </w:t>
            </w:r>
            <w:r w:rsidR="00B84468"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5F11E4" w:rsidP="00602E55">
            <w:pPr>
              <w:ind w:left="16"/>
            </w:pPr>
            <w:r>
              <w:t>5</w:t>
            </w:r>
            <w:r w:rsidR="00B84468">
              <w:t xml:space="preserve">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Pr="00EF44E9" w:rsidRDefault="005F11E4" w:rsidP="00453420">
            <w:pPr>
              <w:ind w:left="16"/>
            </w:pPr>
            <w:r>
              <w:t xml:space="preserve">3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</w:p>
        </w:tc>
      </w:tr>
      <w:tr w:rsidR="009925E4" w:rsidTr="009925E4">
        <w:tc>
          <w:tcPr>
            <w:tcW w:w="10980" w:type="dxa"/>
            <w:gridSpan w:val="13"/>
          </w:tcPr>
          <w:p w:rsidR="009925E4" w:rsidRPr="009925E4" w:rsidRDefault="009925E4" w:rsidP="00033F1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t>REVIEW TINDAK LANJUT DARI TINJAUAN MANAJEMEN SEBELUMNYA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Up date</w:t>
            </w:r>
            <w:proofErr w:type="spellEnd"/>
            <w:r>
              <w:t xml:space="preserve"> Job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, </w:t>
            </w:r>
            <w:proofErr w:type="spellStart"/>
            <w:r w:rsidR="00996C40">
              <w:t>sudah</w:t>
            </w:r>
            <w:proofErr w:type="spellEnd"/>
            <w: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, </w:t>
            </w:r>
            <w:proofErr w:type="spellStart"/>
            <w:r w:rsidR="00996C40">
              <w:t>kecuali</w:t>
            </w:r>
            <w:proofErr w:type="spellEnd"/>
            <w:r w:rsidR="00996C40">
              <w:t xml:space="preserve"> </w:t>
            </w:r>
            <w:proofErr w:type="spellStart"/>
            <w:r w:rsidR="00996C40">
              <w:t>untuk</w:t>
            </w:r>
            <w:proofErr w:type="spellEnd"/>
            <w:r w:rsidR="00996C40">
              <w:t xml:space="preserve"> </w:t>
            </w:r>
            <w:proofErr w:type="spellStart"/>
            <w:r w:rsidR="00996C40">
              <w:t>bagian</w:t>
            </w:r>
            <w:proofErr w:type="spellEnd"/>
            <w:r w:rsidR="00996C40">
              <w:t xml:space="preserve"> Finance</w:t>
            </w:r>
            <w:r>
              <w:t xml:space="preserve">.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lastRenderedPageBreak/>
              <w:t>Pembuatan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 w:rsidR="00996C40">
              <w:t>sudah</w:t>
            </w:r>
            <w:proofErr w:type="spellEnd"/>
            <w:r w:rsidR="00996C40">
              <w:t xml:space="preserve"> </w:t>
            </w:r>
            <w:proofErr w:type="spellStart"/>
            <w:r w:rsidR="00996C40">
              <w:t>dialksanakan</w:t>
            </w:r>
            <w:proofErr w:type="spellEnd"/>
            <w:r w:rsidR="00996C40">
              <w:t xml:space="preserve"> </w:t>
            </w:r>
            <w:proofErr w:type="spellStart"/>
            <w:r w:rsidR="00996C40">
              <w:t>dan</w:t>
            </w:r>
            <w:proofErr w:type="spellEnd"/>
            <w:r w:rsidR="00996C40">
              <w:t xml:space="preserve"> </w:t>
            </w:r>
            <w:proofErr w:type="spellStart"/>
            <w:r w:rsidR="00996C40">
              <w:t>sudah</w:t>
            </w:r>
            <w:proofErr w:type="spellEnd"/>
            <w:r w:rsidR="00996C40">
              <w:t xml:space="preserve"> 90% </w:t>
            </w:r>
            <w:proofErr w:type="spellStart"/>
            <w:r w:rsidR="00996C40">
              <w:t>dari</w:t>
            </w:r>
            <w:proofErr w:type="spellEnd"/>
            <w:r w:rsidR="00996C40">
              <w:t xml:space="preserve"> total </w:t>
            </w:r>
            <w:proofErr w:type="spellStart"/>
            <w:r w:rsidR="00996C40">
              <w:t>departemen</w:t>
            </w:r>
            <w:proofErr w:type="spellEnd"/>
            <w:r w:rsidR="00996C40">
              <w:t xml:space="preserve"> yang </w:t>
            </w:r>
            <w:proofErr w:type="spellStart"/>
            <w:r w:rsidR="00996C40">
              <w:t>ada</w:t>
            </w:r>
            <w:proofErr w:type="spellEnd"/>
            <w:r w:rsidR="00996C40">
              <w:t xml:space="preserve"> </w:t>
            </w:r>
            <w:proofErr w:type="spellStart"/>
            <w:r w:rsidR="00996C40">
              <w:t>sudah</w:t>
            </w:r>
            <w:proofErr w:type="spellEnd"/>
            <w:r w:rsidR="00996C40">
              <w:t xml:space="preserve"> </w:t>
            </w:r>
            <w:proofErr w:type="spellStart"/>
            <w:r w:rsidR="00996C40">
              <w:t>membuat</w:t>
            </w:r>
            <w:proofErr w:type="spellEnd"/>
            <w:r w:rsidR="00996C40">
              <w:t xml:space="preserve"> </w:t>
            </w:r>
            <w:proofErr w:type="spellStart"/>
            <w:r w:rsidR="00996C40">
              <w:t>matrik</w:t>
            </w:r>
            <w:proofErr w:type="spellEnd"/>
            <w:r w:rsidR="00996C40">
              <w:t xml:space="preserve"> </w:t>
            </w:r>
            <w:proofErr w:type="spellStart"/>
            <w:r w:rsidR="00996C40">
              <w:t>kompetensi</w:t>
            </w:r>
            <w:proofErr w:type="spellEnd"/>
            <w:r w:rsidR="00996C40">
              <w:t xml:space="preserve"> </w:t>
            </w:r>
            <w:proofErr w:type="spellStart"/>
            <w:r w:rsidR="00996C40">
              <w:t>sesuai</w:t>
            </w:r>
            <w:proofErr w:type="spellEnd"/>
            <w:r w:rsidR="00996C40">
              <w:t xml:space="preserve"> </w:t>
            </w:r>
            <w:proofErr w:type="spellStart"/>
            <w:r w:rsidR="00996C40">
              <w:t>dengan</w:t>
            </w:r>
            <w:proofErr w:type="spellEnd"/>
            <w:r w:rsidR="00996C40">
              <w:t xml:space="preserve"> </w:t>
            </w:r>
            <w:proofErr w:type="spellStart"/>
            <w:r w:rsidR="00996C40">
              <w:t>kondisi</w:t>
            </w:r>
            <w:proofErr w:type="spellEnd"/>
            <w:r w:rsidR="00996C40">
              <w:t xml:space="preserve"> </w:t>
            </w:r>
            <w:proofErr w:type="spellStart"/>
            <w:r w:rsidR="00996C40">
              <w:t>terakhir</w:t>
            </w:r>
            <w:proofErr w:type="spellEnd"/>
          </w:p>
          <w:p w:rsidR="001451DC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 w:rsidR="009A3885">
              <w:t xml:space="preserve"> </w:t>
            </w:r>
            <w:proofErr w:type="spellStart"/>
            <w:r w:rsidR="009A3885">
              <w:t>acuan</w:t>
            </w:r>
            <w:proofErr w:type="spellEnd"/>
            <w:r w:rsidR="009A3885">
              <w:t xml:space="preserve"> </w:t>
            </w:r>
            <w:proofErr w:type="spellStart"/>
            <w:r w:rsidR="009A3885">
              <w:t>untuk</w:t>
            </w:r>
            <w:proofErr w:type="spellEnd"/>
            <w:r w:rsidR="009A3885">
              <w:t xml:space="preserve"> </w:t>
            </w:r>
            <w:proofErr w:type="spellStart"/>
            <w:r w:rsidR="009A3885">
              <w:t>inspeksi</w:t>
            </w:r>
            <w:proofErr w:type="spellEnd"/>
            <w:r w:rsidR="009A3885">
              <w:t xml:space="preserve"> QC </w:t>
            </w:r>
            <w:proofErr w:type="spellStart"/>
            <w:r w:rsidR="009A3885">
              <w:t>di</w:t>
            </w:r>
            <w:proofErr w:type="spellEnd"/>
            <w:r w:rsidR="009A3885">
              <w:t xml:space="preserve"> </w:t>
            </w:r>
            <w:proofErr w:type="spellStart"/>
            <w:r w:rsidR="009A3885">
              <w:t>bagian</w:t>
            </w:r>
            <w:proofErr w:type="spellEnd"/>
            <w:r w:rsidR="009A3885">
              <w:t xml:space="preserve"> </w:t>
            </w:r>
            <w:proofErr w:type="spellStart"/>
            <w:r w:rsidR="009A3885">
              <w:t>konstruksi</w:t>
            </w:r>
            <w:proofErr w:type="spellEnd"/>
            <w:r w:rsidR="009A3885">
              <w:t xml:space="preserve"> </w:t>
            </w:r>
            <w:proofErr w:type="gramStart"/>
            <w:r w:rsidR="009A3885">
              <w:t>Nursing</w:t>
            </w:r>
            <w:proofErr w:type="gramEnd"/>
            <w:r w:rsidR="009A3885">
              <w:t xml:space="preserve"> bed </w:t>
            </w:r>
            <w:proofErr w:type="spellStart"/>
            <w:r w:rsidR="009A3885">
              <w:t>belum</w:t>
            </w:r>
            <w:proofErr w:type="spellEnd"/>
            <w:r w:rsidR="009A3885">
              <w:t xml:space="preserve"> </w:t>
            </w:r>
            <w:proofErr w:type="spellStart"/>
            <w:r w:rsidR="009A3885">
              <w:t>dilaksanakan</w:t>
            </w:r>
            <w:proofErr w:type="spellEnd"/>
            <w:r w:rsidR="009A3885">
              <w:t xml:space="preserve"> </w:t>
            </w:r>
            <w:proofErr w:type="spellStart"/>
            <w:r w:rsidR="009A3885">
              <w:t>Hampir</w:t>
            </w:r>
            <w:proofErr w:type="spellEnd"/>
            <w:r w:rsidR="009A3885">
              <w:t xml:space="preserve"> </w:t>
            </w:r>
            <w:proofErr w:type="spellStart"/>
            <w:r w:rsidR="009A3885">
              <w:t>terhadap</w:t>
            </w:r>
            <w:proofErr w:type="spellEnd"/>
            <w:r w:rsidR="009A3885">
              <w:t xml:space="preserve"> </w:t>
            </w:r>
            <w:proofErr w:type="spellStart"/>
            <w:r w:rsidR="009A3885">
              <w:t>keseluruhan</w:t>
            </w:r>
            <w:proofErr w:type="spellEnd"/>
            <w:r w:rsidR="009A3885">
              <w:t xml:space="preserve"> </w:t>
            </w:r>
            <w:proofErr w:type="spellStart"/>
            <w:r w:rsidR="009A3885">
              <w:t>proses</w:t>
            </w:r>
            <w:proofErr w:type="spellEnd"/>
            <w:r w:rsidR="009A3885">
              <w:t xml:space="preserve"> yang </w:t>
            </w:r>
            <w:proofErr w:type="spellStart"/>
            <w:r w:rsidR="009A3885">
              <w:t>dikerjakan</w:t>
            </w:r>
            <w:proofErr w:type="spellEnd"/>
            <w:r w:rsidR="006E10FF">
              <w:t>.</w:t>
            </w:r>
          </w:p>
          <w:p w:rsidR="00C35323" w:rsidRPr="00C35323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r w:rsidRPr="00C35323">
              <w:rPr>
                <w:color w:val="000000"/>
              </w:rPr>
              <w:t xml:space="preserve">Data </w:t>
            </w:r>
            <w:r>
              <w:rPr>
                <w:color w:val="000000"/>
              </w:rPr>
              <w:t xml:space="preserve">supplier </w:t>
            </w:r>
            <w:proofErr w:type="spellStart"/>
            <w:r>
              <w:rPr>
                <w:color w:val="000000"/>
              </w:rPr>
              <w:t>angkutan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terdaftar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rekanan</w:t>
            </w:r>
            <w:proofErr w:type="spellEnd"/>
            <w:r w:rsidRPr="00C35323">
              <w:rPr>
                <w:color w:val="000000"/>
              </w:rPr>
              <w:t xml:space="preserve">  &amp; </w:t>
            </w:r>
            <w:proofErr w:type="spellStart"/>
            <w:r w:rsidRPr="00C35323">
              <w:rPr>
                <w:color w:val="000000"/>
              </w:rPr>
              <w:t>hasil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evaluasi</w:t>
            </w:r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r w:rsidRPr="00C35323">
              <w:rPr>
                <w:color w:val="000000"/>
              </w:rPr>
              <w:t xml:space="preserve">update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diselesaikan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akhir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2018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konstruksi</w:t>
            </w:r>
            <w:proofErr w:type="spellEnd"/>
            <w:r>
              <w:t xml:space="preserve"> </w:t>
            </w:r>
            <w:r w:rsidR="009A3885">
              <w:t xml:space="preserve">NSB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perpindahan</w:t>
            </w:r>
            <w:proofErr w:type="spellEnd"/>
            <w:r>
              <w:t xml:space="preserve"> (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>)</w:t>
            </w:r>
          </w:p>
          <w:p w:rsidR="00C35323" w:rsidRPr="009A3885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 w:rsidRPr="007D1E1C">
              <w:rPr>
                <w:color w:val="000000"/>
              </w:rPr>
              <w:t>Tidak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ditemukan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bukti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tertulis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tentang</w:t>
            </w:r>
            <w:proofErr w:type="spellEnd"/>
            <w:r w:rsidRPr="007D1E1C">
              <w:rPr>
                <w:color w:val="000000"/>
              </w:rPr>
              <w:t xml:space="preserve"> Data/ Resume/ List </w:t>
            </w:r>
            <w:proofErr w:type="spellStart"/>
            <w:r w:rsidRPr="007D1E1C">
              <w:rPr>
                <w:color w:val="000000"/>
              </w:rPr>
              <w:t>Kapasitas</w:t>
            </w:r>
            <w:proofErr w:type="spellEnd"/>
            <w:r w:rsidRPr="007D1E1C">
              <w:rPr>
                <w:color w:val="000000"/>
              </w:rPr>
              <w:t xml:space="preserve"> Real </w:t>
            </w:r>
            <w:proofErr w:type="spellStart"/>
            <w:r w:rsidRPr="007D1E1C">
              <w:rPr>
                <w:color w:val="000000"/>
              </w:rPr>
              <w:t>Produksi</w:t>
            </w:r>
            <w:proofErr w:type="spellEnd"/>
            <w:r w:rsidRPr="007D1E1C">
              <w:rPr>
                <w:color w:val="000000"/>
              </w:rPr>
              <w:t xml:space="preserve"> (KRP) </w:t>
            </w:r>
            <w:proofErr w:type="spellStart"/>
            <w:r w:rsidRPr="007D1E1C">
              <w:rPr>
                <w:color w:val="000000"/>
              </w:rPr>
              <w:t>untuk</w:t>
            </w:r>
            <w:proofErr w:type="spellEnd"/>
            <w:r w:rsidRPr="007D1E1C">
              <w:rPr>
                <w:color w:val="000000"/>
              </w:rPr>
              <w:t xml:space="preserve"> assembling Line, </w:t>
            </w:r>
            <w:proofErr w:type="spellStart"/>
            <w:r w:rsidRPr="007D1E1C">
              <w:rPr>
                <w:color w:val="000000"/>
              </w:rPr>
              <w:t>konstruksi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dan</w:t>
            </w:r>
            <w:proofErr w:type="spellEnd"/>
            <w:r w:rsidRPr="007D1E1C">
              <w:rPr>
                <w:color w:val="000000"/>
              </w:rPr>
              <w:t xml:space="preserve"> Finishing</w:t>
            </w:r>
            <w:r w:rsidR="009A3885">
              <w:rPr>
                <w:color w:val="000000"/>
              </w:rPr>
              <w:t xml:space="preserve"> </w:t>
            </w:r>
            <w:proofErr w:type="spellStart"/>
            <w:r w:rsidR="009A3885">
              <w:rPr>
                <w:color w:val="000000"/>
              </w:rPr>
              <w:t>tahun</w:t>
            </w:r>
            <w:proofErr w:type="spellEnd"/>
            <w:r w:rsidR="009A3885">
              <w:rPr>
                <w:color w:val="000000"/>
              </w:rPr>
              <w:t xml:space="preserve"> 2019</w:t>
            </w:r>
          </w:p>
          <w:p w:rsidR="009A3885" w:rsidRPr="007D1E1C" w:rsidRDefault="009A3885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Evaluasi</w:t>
            </w:r>
            <w:proofErr w:type="spellEnd"/>
            <w:r>
              <w:rPr>
                <w:color w:val="000000"/>
              </w:rPr>
              <w:t xml:space="preserve"> Risk </w:t>
            </w:r>
            <w:proofErr w:type="spellStart"/>
            <w:r>
              <w:rPr>
                <w:color w:val="000000"/>
              </w:rPr>
              <w:t>analis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semester ke-1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2019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departemen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membuat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dikarenakan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tidak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tahuan</w:t>
            </w:r>
            <w:proofErr w:type="spellEnd"/>
            <w:r>
              <w:rPr>
                <w:color w:val="000000"/>
              </w:rPr>
              <w:t>.</w:t>
            </w:r>
          </w:p>
          <w:p w:rsidR="007D1E1C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temuan</w:t>
            </w:r>
            <w:proofErr w:type="spellEnd"/>
            <w:r>
              <w:rPr>
                <w:color w:val="000000"/>
              </w:rPr>
              <w:t xml:space="preserve"> yang lain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statusnya</w:t>
            </w:r>
            <w:proofErr w:type="spellEnd"/>
            <w:r>
              <w:rPr>
                <w:color w:val="000000"/>
              </w:rPr>
              <w:t xml:space="preserve"> “Closed”</w:t>
            </w:r>
          </w:p>
        </w:tc>
      </w:tr>
      <w:tr w:rsidR="00C02236" w:rsidTr="00C02236">
        <w:tc>
          <w:tcPr>
            <w:tcW w:w="10980" w:type="dxa"/>
            <w:gridSpan w:val="13"/>
          </w:tcPr>
          <w:p w:rsidR="00C02236" w:rsidRPr="00C02236" w:rsidRDefault="00C02236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lastRenderedPageBreak/>
              <w:t xml:space="preserve">REVIEW PERUBAHAN DIDALAM INFORMASI EKSTERNAL </w:t>
            </w:r>
            <w:proofErr w:type="spellStart"/>
            <w:r w:rsidRPr="00C02236">
              <w:rPr>
                <w:b/>
                <w:bCs/>
              </w:rPr>
              <w:t>dan</w:t>
            </w:r>
            <w:proofErr w:type="spellEnd"/>
            <w:r w:rsidRPr="00C02236">
              <w:rPr>
                <w:b/>
                <w:bCs/>
              </w:rPr>
              <w:t xml:space="preserve"> INTERNAL </w:t>
            </w:r>
          </w:p>
          <w:p w:rsidR="00B77DAF" w:rsidRDefault="008264F6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Penyesuain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ruang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lingkup</w:t>
            </w:r>
            <w:proofErr w:type="spellEnd"/>
            <w:r>
              <w:rPr>
                <w:bCs/>
              </w:rPr>
              <w:t xml:space="preserve"> ISO 9001:2015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penambahan</w:t>
            </w:r>
            <w:proofErr w:type="spellEnd"/>
            <w:r>
              <w:rPr>
                <w:bCs/>
              </w:rPr>
              <w:t xml:space="preserve"> line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diversifuikasi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jenis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dihasilkan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diluar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</w:t>
            </w:r>
            <w:proofErr w:type="spellEnd"/>
            <w:r>
              <w:rPr>
                <w:bCs/>
              </w:rPr>
              <w:t xml:space="preserve"> steel furniture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Nursing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Penyesuaian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pada</w:t>
            </w:r>
            <w:proofErr w:type="spellEnd"/>
            <w:r>
              <w:rPr>
                <w:bCs/>
              </w:rPr>
              <w:t xml:space="preserve"> Quality manual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prosedur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>.</w:t>
            </w:r>
          </w:p>
          <w:p w:rsidR="00922292" w:rsidRDefault="00E346E9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Perubahan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Quality Objective point 7. </w:t>
            </w:r>
            <w:proofErr w:type="spellStart"/>
            <w:r>
              <w:rPr>
                <w:bCs/>
              </w:rPr>
              <w:t>Yaitu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Rasio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Pengembalian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(Return on investment Ratio/ ROI) </w:t>
            </w:r>
            <w:r w:rsidR="00FE1E24">
              <w:rPr>
                <w:bCs/>
              </w:rPr>
              <w:t xml:space="preserve">yang </w:t>
            </w:r>
            <w:proofErr w:type="spellStart"/>
            <w:r w:rsidR="00FE1E24">
              <w:rPr>
                <w:bCs/>
              </w:rPr>
              <w:t>sebelumnya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ditargetkan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sebesar</w:t>
            </w:r>
            <w:proofErr w:type="spellEnd"/>
            <w:r w:rsidR="00FE1E24">
              <w:rPr>
                <w:bCs/>
              </w:rPr>
              <w:t xml:space="preserve"> 25% </w:t>
            </w:r>
            <w:proofErr w:type="spellStart"/>
            <w:r w:rsidR="00FE1E24">
              <w:rPr>
                <w:bCs/>
              </w:rPr>
              <w:t>dirubah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menjadi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sebesar</w:t>
            </w:r>
            <w:proofErr w:type="spellEnd"/>
            <w:r w:rsidR="00FE1E24">
              <w:rPr>
                <w:bCs/>
              </w:rPr>
              <w:t xml:space="preserve"> 5% </w:t>
            </w:r>
            <w:proofErr w:type="spellStart"/>
            <w:r w:rsidR="00FE1E24">
              <w:rPr>
                <w:bCs/>
              </w:rPr>
              <w:t>disesuaikan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dengan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pencapaian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beberapa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tahun</w:t>
            </w:r>
            <w:proofErr w:type="spellEnd"/>
            <w:r w:rsidR="00FE1E24">
              <w:rPr>
                <w:bCs/>
              </w:rPr>
              <w:t xml:space="preserve"> </w:t>
            </w:r>
            <w:proofErr w:type="spellStart"/>
            <w:r w:rsidR="00FE1E24">
              <w:rPr>
                <w:bCs/>
              </w:rPr>
              <w:t>kebelakang</w:t>
            </w:r>
            <w:proofErr w:type="spellEnd"/>
            <w:r w:rsidR="00FE1E24">
              <w:rPr>
                <w:bCs/>
              </w:rPr>
              <w:t xml:space="preserve"> (MR)</w:t>
            </w:r>
          </w:p>
          <w:p w:rsidR="00C02236" w:rsidRPr="00C02236" w:rsidRDefault="00B77DAF" w:rsidP="00E346E9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r>
              <w:rPr>
                <w:bCs/>
              </w:rPr>
              <w:t xml:space="preserve">Risk </w:t>
            </w:r>
            <w:proofErr w:type="spellStart"/>
            <w:r>
              <w:rPr>
                <w:bCs/>
              </w:rPr>
              <w:t>identifikasi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</w:t>
            </w:r>
            <w:r w:rsidR="00E346E9">
              <w:rPr>
                <w:bCs/>
              </w:rPr>
              <w:t xml:space="preserve">semester-1 </w:t>
            </w:r>
            <w:proofErr w:type="spellStart"/>
            <w:r w:rsidR="00E346E9">
              <w:rPr>
                <w:bCs/>
              </w:rPr>
              <w:t>tahun</w:t>
            </w:r>
            <w:proofErr w:type="spellEnd"/>
            <w:r w:rsidR="005904E0">
              <w:rPr>
                <w:bCs/>
              </w:rPr>
              <w:t xml:space="preserve"> 2019</w:t>
            </w:r>
            <w:r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hampir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semua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departemen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belum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melaksanakan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terhadap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effektifitas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dari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rencana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tindakan</w:t>
            </w:r>
            <w:proofErr w:type="spellEnd"/>
            <w:r w:rsidR="00E346E9">
              <w:rPr>
                <w:bCs/>
              </w:rPr>
              <w:t xml:space="preserve"> yang </w:t>
            </w:r>
            <w:proofErr w:type="spellStart"/>
            <w:r w:rsidR="00E346E9">
              <w:rPr>
                <w:bCs/>
              </w:rPr>
              <w:t>sudah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dilaksanakan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perbaikan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terhadap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rencana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tindakan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jika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dirasakan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belum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E346E9">
              <w:rPr>
                <w:bCs/>
              </w:rPr>
              <w:t>maksimal</w:t>
            </w:r>
            <w:proofErr w:type="spellEnd"/>
            <w:r w:rsidR="005904E0">
              <w:rPr>
                <w:bCs/>
              </w:rPr>
              <w:t xml:space="preserve">(PIC MGR. </w:t>
            </w:r>
            <w:proofErr w:type="spellStart"/>
            <w:r w:rsidR="005904E0">
              <w:rPr>
                <w:bCs/>
              </w:rPr>
              <w:t>departemen</w:t>
            </w:r>
            <w:proofErr w:type="spellEnd"/>
            <w:r w:rsidR="005904E0">
              <w:rPr>
                <w:bCs/>
              </w:rPr>
              <w:t>)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547083" w:rsidRDefault="00AF000E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Kepuasan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="00547083">
              <w:rPr>
                <w:b/>
                <w:bCs/>
              </w:rPr>
              <w:t>erhadap</w:t>
            </w:r>
            <w:proofErr w:type="spellEnd"/>
            <w:r w:rsidR="00547083">
              <w:rPr>
                <w:b/>
                <w:bCs/>
              </w:rPr>
              <w:t xml:space="preserve"> </w:t>
            </w:r>
            <w:proofErr w:type="spellStart"/>
            <w:r w:rsidR="00547083">
              <w:rPr>
                <w:b/>
                <w:bCs/>
              </w:rPr>
              <w:t>produk</w:t>
            </w:r>
            <w:proofErr w:type="spellEnd"/>
            <w:r w:rsidR="00547083">
              <w:rPr>
                <w:b/>
                <w:bCs/>
              </w:rPr>
              <w:t xml:space="preserve"> Chitose :</w:t>
            </w:r>
          </w:p>
          <w:p w:rsidR="00547083" w:rsidRPr="00547083" w:rsidRDefault="00547083" w:rsidP="00033F12">
            <w:pPr>
              <w:pStyle w:val="ListParagraph"/>
              <w:numPr>
                <w:ilvl w:val="0"/>
                <w:numId w:val="13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keluhan</w:t>
            </w:r>
            <w:proofErr w:type="spellEnd"/>
            <w:r w:rsidR="00C001E1">
              <w:rPr>
                <w:bCs/>
              </w:rPr>
              <w:t xml:space="preserve"> (claim)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direspon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1 (</w:t>
            </w:r>
            <w:proofErr w:type="spellStart"/>
            <w:r>
              <w:rPr>
                <w:bCs/>
              </w:rPr>
              <w:t>satu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hari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perbaikan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terhadap</w:t>
            </w:r>
            <w:proofErr w:type="spellEnd"/>
            <w:r w:rsidR="00C001E1">
              <w:rPr>
                <w:bCs/>
              </w:rPr>
              <w:t xml:space="preserve"> claim </w:t>
            </w:r>
            <w:proofErr w:type="spellStart"/>
            <w:r w:rsidR="00C001E1">
              <w:rPr>
                <w:bCs/>
              </w:rPr>
              <w:t>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dilaksanakan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maksimal</w:t>
            </w:r>
            <w:proofErr w:type="spellEnd"/>
            <w:r w:rsidR="00C001E1">
              <w:rPr>
                <w:bCs/>
              </w:rPr>
              <w:t xml:space="preserve"> 10 (</w:t>
            </w:r>
            <w:proofErr w:type="spellStart"/>
            <w:r w:rsidR="00C001E1">
              <w:rPr>
                <w:bCs/>
              </w:rPr>
              <w:t>sepuluh</w:t>
            </w:r>
            <w:proofErr w:type="spellEnd"/>
            <w:r w:rsidR="00C001E1">
              <w:rPr>
                <w:bCs/>
              </w:rPr>
              <w:t xml:space="preserve">) </w:t>
            </w:r>
            <w:proofErr w:type="spellStart"/>
            <w:r w:rsidR="00C001E1">
              <w:rPr>
                <w:bCs/>
              </w:rPr>
              <w:t>hari</w:t>
            </w:r>
            <w:proofErr w:type="spellEnd"/>
          </w:p>
          <w:p w:rsidR="00C001E1" w:rsidRDefault="00F34DFA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F000E">
              <w:rPr>
                <w:b/>
                <w:bCs/>
              </w:rPr>
              <w:t>Penyedia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eksternal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F34DFA" w:rsidRDefault="00F34DFA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Cs/>
              </w:rPr>
            </w:pPr>
            <w:proofErr w:type="spellStart"/>
            <w:r w:rsidRPr="00F34DFA">
              <w:rPr>
                <w:bCs/>
              </w:rPr>
              <w:t>Pen</w:t>
            </w:r>
            <w:r>
              <w:rPr>
                <w:bCs/>
              </w:rPr>
              <w:t>ilaian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terhadap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kinerja</w:t>
            </w:r>
            <w:proofErr w:type="spellEnd"/>
            <w:r w:rsidRPr="00F34DFA">
              <w:rPr>
                <w:bCs/>
              </w:rPr>
              <w:t xml:space="preserve"> supplier </w:t>
            </w:r>
            <w:proofErr w:type="spellStart"/>
            <w:r w:rsidRPr="00F34DFA">
              <w:rPr>
                <w:bCs/>
              </w:rPr>
              <w:t>eksternal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oleh</w:t>
            </w:r>
            <w:proofErr w:type="spellEnd"/>
            <w:r w:rsidRPr="00F34DFA">
              <w:rPr>
                <w:bCs/>
              </w:rPr>
              <w:t xml:space="preserve"> </w:t>
            </w:r>
            <w:r w:rsidR="00A048A2">
              <w:rPr>
                <w:bCs/>
              </w:rPr>
              <w:t xml:space="preserve">PCH, PPIC </w:t>
            </w:r>
            <w:proofErr w:type="spellStart"/>
            <w:r w:rsidR="00A048A2">
              <w:rPr>
                <w:bCs/>
              </w:rPr>
              <w:t>dan</w:t>
            </w:r>
            <w:proofErr w:type="spellEnd"/>
            <w:r w:rsidR="00A048A2">
              <w:rPr>
                <w:bCs/>
              </w:rPr>
              <w:t xml:space="preserve"> QC </w:t>
            </w:r>
            <w:proofErr w:type="spellStart"/>
            <w:proofErr w:type="gramStart"/>
            <w:r w:rsidR="00A048A2">
              <w:rPr>
                <w:bCs/>
              </w:rPr>
              <w:t>akan</w:t>
            </w:r>
            <w:proofErr w:type="spellEnd"/>
            <w:proofErr w:type="gramEnd"/>
            <w:r w:rsidR="00A048A2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dilakukan</w:t>
            </w:r>
            <w:proofErr w:type="spellEnd"/>
            <w:r w:rsidR="00A048A2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penyesuaian</w:t>
            </w:r>
            <w:proofErr w:type="spellEnd"/>
            <w:r w:rsidR="00A048A2">
              <w:rPr>
                <w:bCs/>
              </w:rPr>
              <w:t xml:space="preserve"> agar </w:t>
            </w:r>
            <w:proofErr w:type="spellStart"/>
            <w:r w:rsidR="00A048A2">
              <w:rPr>
                <w:bCs/>
              </w:rPr>
              <w:t>penilaian</w:t>
            </w:r>
            <w:proofErr w:type="spellEnd"/>
            <w:r w:rsidR="00A048A2">
              <w:rPr>
                <w:bCs/>
              </w:rPr>
              <w:t xml:space="preserve"> yang </w:t>
            </w:r>
            <w:proofErr w:type="spellStart"/>
            <w:r w:rsidR="0007655E">
              <w:rPr>
                <w:bCs/>
              </w:rPr>
              <w:t>dihasilkan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bisa</w:t>
            </w:r>
            <w:proofErr w:type="spellEnd"/>
            <w:r w:rsidR="00A048A2">
              <w:rPr>
                <w:bCs/>
              </w:rPr>
              <w:t xml:space="preserve"> </w:t>
            </w:r>
            <w:proofErr w:type="spellStart"/>
            <w:r w:rsidR="00A048A2">
              <w:rPr>
                <w:bCs/>
              </w:rPr>
              <w:t>saling</w:t>
            </w:r>
            <w:proofErr w:type="spellEnd"/>
            <w:r w:rsidR="00A048A2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melengkapi</w:t>
            </w:r>
            <w:proofErr w:type="spellEnd"/>
            <w:r w:rsidR="0007655E">
              <w:rPr>
                <w:bCs/>
              </w:rPr>
              <w:t xml:space="preserve">, </w:t>
            </w:r>
            <w:proofErr w:type="spellStart"/>
            <w:r w:rsidR="0007655E">
              <w:rPr>
                <w:bCs/>
              </w:rPr>
              <w:t>dengan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melakukan</w:t>
            </w:r>
            <w:proofErr w:type="spellEnd"/>
            <w:r w:rsidR="0007655E">
              <w:rPr>
                <w:bCs/>
              </w:rPr>
              <w:t xml:space="preserve"> review minimal </w:t>
            </w:r>
            <w:proofErr w:type="spellStart"/>
            <w:r w:rsidR="0007655E">
              <w:rPr>
                <w:bCs/>
              </w:rPr>
              <w:t>satu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tahun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sekali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terhadap</w:t>
            </w:r>
            <w:proofErr w:type="spellEnd"/>
            <w:r w:rsidR="0007655E">
              <w:rPr>
                <w:bCs/>
              </w:rPr>
              <w:t xml:space="preserve"> vendor yang </w:t>
            </w:r>
            <w:proofErr w:type="spellStart"/>
            <w:r w:rsidR="0007655E">
              <w:rPr>
                <w:bCs/>
              </w:rPr>
              <w:t>dinilai</w:t>
            </w:r>
            <w:proofErr w:type="spellEnd"/>
            <w:r w:rsidR="0007655E">
              <w:rPr>
                <w:bCs/>
              </w:rPr>
              <w:t>.</w:t>
            </w:r>
          </w:p>
          <w:p w:rsidR="00547083" w:rsidRPr="00547083" w:rsidRDefault="0007655E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review </w:t>
            </w:r>
            <w:proofErr w:type="spellStart"/>
            <w:r>
              <w:rPr>
                <w:bCs/>
              </w:rPr>
              <w:t>olah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PCH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sangsi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proofErr w:type="gramStart"/>
            <w:r>
              <w:rPr>
                <w:bCs/>
              </w:rPr>
              <w:t>akan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vendor </w:t>
            </w:r>
            <w:proofErr w:type="spellStart"/>
            <w:r>
              <w:rPr>
                <w:bCs/>
              </w:rPr>
              <w:t>jika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hasil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penilaian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dibawah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standar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keberterimaan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ditentukan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selama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sangsi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dibuat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tertulis</w:t>
            </w:r>
            <w:proofErr w:type="spellEnd"/>
            <w:r>
              <w:rPr>
                <w:bCs/>
              </w:rPr>
              <w:t>.</w:t>
            </w:r>
            <w:r w:rsidR="00F34DFA">
              <w:rPr>
                <w:bCs/>
              </w:rPr>
              <w:t xml:space="preserve"> </w:t>
            </w:r>
          </w:p>
        </w:tc>
      </w:tr>
      <w:tr w:rsidR="00927D13" w:rsidTr="00C02236">
        <w:tc>
          <w:tcPr>
            <w:tcW w:w="10980" w:type="dxa"/>
            <w:gridSpan w:val="13"/>
          </w:tcPr>
          <w:p w:rsidR="00927D13" w:rsidRDefault="00927D13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REVIEW KECUKUPAN SUMBER DAYA</w:t>
            </w: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201</w:t>
            </w:r>
            <w:r w:rsidR="00B95BDF">
              <w:rPr>
                <w:bCs/>
              </w:rPr>
              <w:t>9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706352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Standar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Kompetensi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dilakukan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dan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hasilnya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90% </w:t>
            </w:r>
            <w:proofErr w:type="spellStart"/>
            <w:r w:rsidR="00BE734D">
              <w:rPr>
                <w:bCs/>
              </w:rPr>
              <w:t>dari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departemen</w:t>
            </w:r>
            <w:proofErr w:type="spellEnd"/>
            <w:r w:rsidR="00BE734D">
              <w:rPr>
                <w:bCs/>
              </w:rPr>
              <w:t xml:space="preserve"> yang </w:t>
            </w:r>
            <w:proofErr w:type="spellStart"/>
            <w:r w:rsidR="00BE734D">
              <w:rPr>
                <w:bCs/>
              </w:rPr>
              <w:t>ada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memiliki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matrik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kompetensi</w:t>
            </w:r>
            <w:proofErr w:type="spellEnd"/>
          </w:p>
          <w:p w:rsidR="00706352" w:rsidRPr="00706352" w:rsidRDefault="00BE734D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sosialisasi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job </w:t>
            </w:r>
            <w:proofErr w:type="spellStart"/>
            <w:r>
              <w:rPr>
                <w:bCs/>
              </w:rPr>
              <w:t>deskripsi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personel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lastRenderedPageBreak/>
              <w:t>dan</w:t>
            </w:r>
            <w:proofErr w:type="spellEnd"/>
            <w:r>
              <w:rPr>
                <w:bCs/>
              </w:rPr>
              <w:t xml:space="preserve"> P2K3</w:t>
            </w:r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</w:p>
        </w:tc>
      </w:tr>
      <w:tr w:rsidR="0036786C" w:rsidTr="00527340">
        <w:tc>
          <w:tcPr>
            <w:tcW w:w="10980" w:type="dxa"/>
            <w:gridSpan w:val="13"/>
          </w:tcPr>
          <w:p w:rsidR="00C773BF" w:rsidRPr="00C773BF" w:rsidRDefault="006618D7" w:rsidP="00033F12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lastRenderedPageBreak/>
              <w:t xml:space="preserve">REVIEW STATUS TINDAKAN KOREKTIF </w:t>
            </w:r>
          </w:p>
          <w:p w:rsidR="006618D7" w:rsidRPr="006618D7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Tinjau</w:t>
            </w:r>
            <w:r w:rsidR="00DD19FC">
              <w:t>a</w:t>
            </w:r>
            <w:r w:rsidR="007644C6">
              <w:t>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</w:t>
            </w:r>
            <w:r w:rsidR="00886D61">
              <w:t>2</w:t>
            </w:r>
            <w:r w:rsidR="007644C6">
              <w:t xml:space="preserve">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201</w:t>
            </w:r>
            <w:r w:rsidR="00DD19FC">
              <w:t>9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618D7" w:rsidRPr="00566B18" w:rsidRDefault="00FE581C" w:rsidP="00886D61">
            <w:pPr>
              <w:ind w:left="1062"/>
            </w:pPr>
            <w:r>
              <w:t xml:space="preserve">Dari total </w:t>
            </w:r>
            <w:r w:rsidR="00886D61">
              <w:t>34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 w:rsidR="00566B18">
              <w:t>baru</w:t>
            </w:r>
            <w:proofErr w:type="spellEnd"/>
            <w:r w:rsidR="00566B18">
              <w:t xml:space="preserve"> </w:t>
            </w:r>
            <w:proofErr w:type="spellStart"/>
            <w:r w:rsidR="00566B18">
              <w:t>ada</w:t>
            </w:r>
            <w:proofErr w:type="spellEnd"/>
            <w:r w:rsidR="00566B18">
              <w:t xml:space="preserve"> </w:t>
            </w:r>
            <w:r w:rsidR="00886D61">
              <w:t>21</w:t>
            </w:r>
            <w:r w:rsidR="00566B18">
              <w:t xml:space="preserve"> (</w:t>
            </w:r>
            <w:proofErr w:type="spellStart"/>
            <w:r w:rsidR="007E233C">
              <w:t>duapuluh</w:t>
            </w:r>
            <w:proofErr w:type="spellEnd"/>
            <w:r w:rsidR="007E233C">
              <w:t xml:space="preserve"> </w:t>
            </w:r>
            <w:proofErr w:type="spellStart"/>
            <w:r w:rsidR="00886D61">
              <w:t>satu</w:t>
            </w:r>
            <w:proofErr w:type="spellEnd"/>
            <w:r w:rsidR="00566B18">
              <w:t>)</w:t>
            </w:r>
            <w:r w:rsidR="00FE7DCC">
              <w:t xml:space="preserve">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r w:rsidR="00566B18">
              <w:t xml:space="preserve">yang </w:t>
            </w:r>
            <w:proofErr w:type="spellStart"/>
            <w:r w:rsidR="00566B18">
              <w:t>sudah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“closed</w:t>
            </w:r>
            <w:proofErr w:type="gramStart"/>
            <w:r w:rsidR="00566B18">
              <w:t xml:space="preserve">” </w:t>
            </w:r>
            <w:r>
              <w:t xml:space="preserve"> </w:t>
            </w:r>
            <w:proofErr w:type="spellStart"/>
            <w:r w:rsidR="00566B18">
              <w:t>sedangkan</w:t>
            </w:r>
            <w:proofErr w:type="spellEnd"/>
            <w:proofErr w:type="gramEnd"/>
            <w:r w:rsidR="00566B18">
              <w:t xml:space="preserve"> </w:t>
            </w:r>
            <w:r w:rsidR="00886D61">
              <w:t>13</w:t>
            </w:r>
            <w:r w:rsidR="00566B18">
              <w:t xml:space="preserve"> (</w:t>
            </w:r>
            <w:proofErr w:type="spellStart"/>
            <w:r w:rsidR="00886D61">
              <w:t>tiga</w:t>
            </w:r>
            <w:proofErr w:type="spellEnd"/>
            <w:r w:rsidR="007E233C">
              <w:t xml:space="preserve"> </w:t>
            </w:r>
            <w:proofErr w:type="spellStart"/>
            <w:r w:rsidR="007E233C">
              <w:t>Belas</w:t>
            </w:r>
            <w:proofErr w:type="spellEnd"/>
            <w:r w:rsidR="00566B18">
              <w:t xml:space="preserve">) </w:t>
            </w:r>
            <w:proofErr w:type="spellStart"/>
            <w:r w:rsidR="00566B18">
              <w:t>temuan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“Open”. </w:t>
            </w:r>
            <w:proofErr w:type="spellStart"/>
            <w:r w:rsidR="00566B18">
              <w:t>Karena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dalam</w:t>
            </w:r>
            <w:proofErr w:type="spellEnd"/>
            <w:r w:rsidR="00566B18">
              <w:t xml:space="preserve"> </w:t>
            </w:r>
            <w:proofErr w:type="spellStart"/>
            <w:r w:rsidR="00566B18">
              <w:t>proses</w:t>
            </w:r>
            <w:proofErr w:type="spellEnd"/>
            <w:r w:rsidR="00566B18">
              <w:t xml:space="preserve"> </w:t>
            </w:r>
            <w:proofErr w:type="spellStart"/>
            <w:r w:rsidR="00566B18">
              <w:t>pelaksanaan</w:t>
            </w:r>
            <w:proofErr w:type="spellEnd"/>
            <w:r w:rsidR="00566B18">
              <w:t xml:space="preserve"> </w:t>
            </w:r>
            <w:proofErr w:type="spellStart"/>
            <w:r w:rsidR="00566B18">
              <w:t>tindakan</w:t>
            </w:r>
            <w:proofErr w:type="spellEnd"/>
            <w:r w:rsidR="00566B18">
              <w:t xml:space="preserve"> </w:t>
            </w:r>
            <w:proofErr w:type="spellStart"/>
            <w:r w:rsidR="00566B18">
              <w:t>perbaikan</w:t>
            </w:r>
            <w:proofErr w:type="spellEnd"/>
            <w:r w:rsidR="00084584">
              <w:t xml:space="preserve"> </w:t>
            </w:r>
          </w:p>
        </w:tc>
      </w:tr>
      <w:tr w:rsidR="00033F12" w:rsidTr="00527340">
        <w:tc>
          <w:tcPr>
            <w:tcW w:w="10980" w:type="dxa"/>
            <w:gridSpan w:val="13"/>
          </w:tcPr>
          <w:p w:rsidR="00033F12" w:rsidRDefault="00033F12" w:rsidP="00033F1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>
              <w:t xml:space="preserve"> audit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 w:rsidR="00DD19FC">
              <w:t>10</w:t>
            </w:r>
            <w:r>
              <w:t xml:space="preserve"> (</w:t>
            </w:r>
            <w:proofErr w:type="spellStart"/>
            <w:r>
              <w:t>Se</w:t>
            </w:r>
            <w:r w:rsidR="00DD19FC">
              <w:t>puluh</w:t>
            </w:r>
            <w:proofErr w:type="spellEnd"/>
            <w:r>
              <w:t xml:space="preserve">) </w:t>
            </w:r>
            <w:proofErr w:type="spellStart"/>
            <w:r>
              <w:t>departemen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r w:rsidR="009550F8">
              <w:t>September</w:t>
            </w:r>
            <w:r w:rsidR="00DD19FC"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 w:rsidR="009550F8">
              <w:t xml:space="preserve">November </w:t>
            </w:r>
            <w:r w:rsidR="00DD19FC">
              <w:t>2019</w:t>
            </w:r>
            <w:r>
              <w:t xml:space="preserve"> </w:t>
            </w:r>
            <w:proofErr w:type="spellStart"/>
            <w:r>
              <w:t>hasilnya</w:t>
            </w:r>
            <w:proofErr w:type="spellEnd"/>
            <w:r>
              <w:t xml:space="preserve"> :</w:t>
            </w:r>
          </w:p>
          <w:p w:rsidR="007644C6" w:rsidRDefault="009550F8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9 (Sembilan) </w:t>
            </w:r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yaitu</w:t>
            </w:r>
            <w:proofErr w:type="spellEnd"/>
            <w:r w:rsidR="007644C6"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r w:rsidR="007644C6">
              <w:t xml:space="preserve">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902C99" w:rsidRPr="007644C6" w:rsidRDefault="00902C99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MR </w:t>
            </w:r>
            <w:proofErr w:type="spellStart"/>
            <w:r>
              <w:t>dan</w:t>
            </w:r>
            <w:proofErr w:type="spellEnd"/>
            <w:r>
              <w:t xml:space="preserve"> ISO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</w:tc>
      </w:tr>
      <w:tr w:rsidR="006618D7" w:rsidTr="00527340">
        <w:tc>
          <w:tcPr>
            <w:tcW w:w="10980" w:type="dxa"/>
            <w:gridSpan w:val="13"/>
          </w:tcPr>
          <w:p w:rsidR="006618D7" w:rsidRDefault="006618D7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KEPUTUSAN MANAJEMEN BERKAITAN DENGAN SISTEM MANAJEMEN MUTU ISO 9001:20</w:t>
            </w:r>
            <w:r w:rsidR="00ED3EB7">
              <w:rPr>
                <w:b/>
              </w:rPr>
              <w:t>15</w:t>
            </w:r>
            <w:r>
              <w:rPr>
                <w:b/>
              </w:rPr>
              <w:t xml:space="preserve"> ADALAH SEBAGAI BERIKUT :</w:t>
            </w:r>
          </w:p>
          <w:p w:rsidR="00FD1C59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agar</w:t>
            </w:r>
            <w:r w:rsidR="006618D7"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 w:rsidR="00FE581C">
              <w:t>aktif</w:t>
            </w:r>
            <w:proofErr w:type="spellEnd"/>
            <w:r w:rsidR="00FE581C">
              <w:t xml:space="preserve"> </w:t>
            </w:r>
            <w:proofErr w:type="spellStart"/>
            <w:r w:rsidR="00FE581C"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proses</w:t>
            </w:r>
            <w:proofErr w:type="spellEnd"/>
            <w:r>
              <w:t xml:space="preserve"> </w:t>
            </w:r>
            <w:proofErr w:type="spellStart"/>
            <w:r w:rsidR="00F66637">
              <w:t>pelaksanaan</w:t>
            </w:r>
            <w:proofErr w:type="spellEnd"/>
            <w:r w:rsidR="00F66637">
              <w:t xml:space="preserve">  </w:t>
            </w:r>
            <w:proofErr w:type="spellStart"/>
            <w:r w:rsidR="00F66637">
              <w:t>Sistem</w:t>
            </w:r>
            <w:proofErr w:type="spellEnd"/>
            <w:r w:rsidR="00F66637">
              <w:t xml:space="preserve">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Mutu</w:t>
            </w:r>
            <w:proofErr w:type="spellEnd"/>
            <w:r w:rsidR="00F66637">
              <w:t xml:space="preserve"> (SMM) ISO 9001:2015</w:t>
            </w:r>
            <w:r w:rsidR="000F7E7B"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 w:rsidR="00F66637">
              <w:t>seluruh</w:t>
            </w:r>
            <w:proofErr w:type="spellEnd"/>
            <w:r w:rsidR="00F66637">
              <w:t xml:space="preserve"> </w:t>
            </w:r>
            <w:proofErr w:type="spellStart"/>
            <w:r w:rsidR="00F66637">
              <w:t>sertifikat</w:t>
            </w:r>
            <w:proofErr w:type="spellEnd"/>
            <w:r w:rsidR="00F66637">
              <w:t xml:space="preserve"> system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di</w:t>
            </w:r>
            <w:proofErr w:type="spellEnd"/>
            <w:r w:rsidR="00F66637">
              <w:t xml:space="preserve"> </w:t>
            </w:r>
            <w:proofErr w:type="spellStart"/>
            <w:r w:rsidR="00F66637">
              <w:t>miliki</w:t>
            </w:r>
            <w:proofErr w:type="spellEnd"/>
            <w:r w:rsidR="00F66637">
              <w:t xml:space="preserve"> </w:t>
            </w:r>
            <w:proofErr w:type="spellStart"/>
            <w:r w:rsidR="00F66637">
              <w:t>oleh</w:t>
            </w:r>
            <w:proofErr w:type="spellEnd"/>
            <w:r w:rsidR="00F66637">
              <w:t xml:space="preserve"> PT. Chitose </w:t>
            </w:r>
            <w:proofErr w:type="spellStart"/>
            <w:r w:rsidR="00F66637">
              <w:t>Internasional</w:t>
            </w:r>
            <w:proofErr w:type="spellEnd"/>
            <w:r w:rsidR="00F66637">
              <w:t xml:space="preserve"> </w:t>
            </w:r>
            <w:proofErr w:type="spellStart"/>
            <w:r w:rsidR="00F66637">
              <w:t>Tbk</w:t>
            </w:r>
            <w:proofErr w:type="spellEnd"/>
            <w:r w:rsidR="00F66637">
              <w:t xml:space="preserve">. </w:t>
            </w:r>
            <w:proofErr w:type="spellStart"/>
            <w:r w:rsidR="00F66637">
              <w:t>diantaranya</w:t>
            </w:r>
            <w:proofErr w:type="spellEnd"/>
            <w:r w:rsidR="00F66637">
              <w:t xml:space="preserve"> ISO 9001:2015, SNI ISO 9001:2015 </w:t>
            </w:r>
            <w:proofErr w:type="spellStart"/>
            <w:r w:rsidR="00F66637">
              <w:t>dan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sedang</w:t>
            </w:r>
            <w:proofErr w:type="spellEnd"/>
            <w:r w:rsidR="00F66637">
              <w:t xml:space="preserve"> </w:t>
            </w:r>
            <w:proofErr w:type="spellStart"/>
            <w:r w:rsidR="00F66637">
              <w:t>dalam</w:t>
            </w:r>
            <w:proofErr w:type="spellEnd"/>
            <w:r w:rsidR="00F66637">
              <w:t xml:space="preserve"> </w:t>
            </w:r>
            <w:proofErr w:type="spellStart"/>
            <w:r w:rsidR="00F66637">
              <w:t>proses</w:t>
            </w:r>
            <w:proofErr w:type="spellEnd"/>
            <w:r w:rsidR="00F66637">
              <w:t xml:space="preserve"> </w:t>
            </w:r>
            <w:proofErr w:type="spellStart"/>
            <w:r w:rsidR="00F66637">
              <w:t>penerbitan</w:t>
            </w:r>
            <w:proofErr w:type="spellEnd"/>
            <w:r w:rsidR="00F66637">
              <w:t xml:space="preserve"> </w:t>
            </w:r>
            <w:proofErr w:type="spellStart"/>
            <w:r w:rsidR="00F66637">
              <w:t>yaitu</w:t>
            </w:r>
            <w:proofErr w:type="spellEnd"/>
            <w:r w:rsidR="00F66637">
              <w:t xml:space="preserve"> CPAKB </w:t>
            </w:r>
            <w:proofErr w:type="spellStart"/>
            <w:r w:rsidR="00F66637">
              <w:t>AlKes</w:t>
            </w:r>
            <w:proofErr w:type="spellEnd"/>
            <w:r w:rsidR="00F66637">
              <w:t xml:space="preserve"> </w:t>
            </w:r>
            <w:proofErr w:type="spellStart"/>
            <w:r w:rsidR="00F66637">
              <w:t>Kemenkes</w:t>
            </w:r>
            <w:proofErr w:type="spellEnd"/>
            <w:r w:rsidR="00F66637">
              <w:t xml:space="preserve"> </w:t>
            </w:r>
            <w:proofErr w:type="spellStart"/>
            <w:r w:rsidR="00F66637">
              <w:t>merujuk</w:t>
            </w:r>
            <w:proofErr w:type="spellEnd"/>
            <w:r w:rsidR="00F66637">
              <w:t xml:space="preserve"> </w:t>
            </w:r>
            <w:proofErr w:type="spellStart"/>
            <w:r w:rsidR="00F66637">
              <w:t>standar</w:t>
            </w:r>
            <w:proofErr w:type="spellEnd"/>
            <w:r w:rsidR="00F66637">
              <w:t xml:space="preserve"> ISO 9001:2015 </w:t>
            </w:r>
            <w:proofErr w:type="spellStart"/>
            <w:r w:rsidR="00F66637">
              <w:t>sebagai</w:t>
            </w:r>
            <w:proofErr w:type="spellEnd"/>
            <w:r w:rsidR="00F66637">
              <w:t xml:space="preserve"> </w:t>
            </w:r>
            <w:proofErr w:type="spellStart"/>
            <w:r w:rsidR="00F66637">
              <w:t>standar</w:t>
            </w:r>
            <w:proofErr w:type="spellEnd"/>
            <w:r w:rsidR="00F66637">
              <w:t>.</w:t>
            </w:r>
          </w:p>
          <w:p w:rsidR="006618D7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Managemen</w:t>
            </w:r>
            <w:proofErr w:type="spellEnd"/>
            <w:r>
              <w:t xml:space="preserve"> </w:t>
            </w:r>
            <w:proofErr w:type="spellStart"/>
            <w:r w:rsidR="00F66637">
              <w:t>mengharapkan</w:t>
            </w:r>
            <w:proofErr w:type="spellEnd"/>
            <w:r w:rsidR="00F66637">
              <w:t xml:space="preserve"> </w:t>
            </w:r>
            <w:proofErr w:type="spellStart"/>
            <w:r w:rsidR="00F66637">
              <w:t>semua</w:t>
            </w:r>
            <w:proofErr w:type="spellEnd"/>
            <w:r w:rsidR="00F66637">
              <w:t xml:space="preserve"> </w:t>
            </w:r>
            <w:proofErr w:type="spellStart"/>
            <w:r w:rsidR="00F66637">
              <w:t>temuan</w:t>
            </w:r>
            <w:proofErr w:type="spellEnd"/>
            <w:r w:rsidR="00F66637">
              <w:t xml:space="preserve"> </w:t>
            </w:r>
            <w:proofErr w:type="spellStart"/>
            <w:r w:rsidR="00F66637">
              <w:t>terkait</w:t>
            </w:r>
            <w:proofErr w:type="spellEnd"/>
            <w:r w:rsidR="00F66637">
              <w:t xml:space="preserve"> </w:t>
            </w:r>
            <w:proofErr w:type="spellStart"/>
            <w:r w:rsidR="00F66637">
              <w:t>dengan</w:t>
            </w:r>
            <w:proofErr w:type="spellEnd"/>
            <w:r w:rsidR="00F66637">
              <w:t xml:space="preserve"> Review </w:t>
            </w:r>
            <w:proofErr w:type="spellStart"/>
            <w:r w:rsidR="00F66637">
              <w:t>dan</w:t>
            </w:r>
            <w:proofErr w:type="spellEnd"/>
            <w:r w:rsidR="00F66637">
              <w:t xml:space="preserve"> </w:t>
            </w:r>
            <w:proofErr w:type="spellStart"/>
            <w:r w:rsidR="00F66637">
              <w:t>evaluasi</w:t>
            </w:r>
            <w:proofErr w:type="spellEnd"/>
            <w:r w:rsidR="00F66637">
              <w:t xml:space="preserve"> </w:t>
            </w:r>
            <w:proofErr w:type="spellStart"/>
            <w:r w:rsidR="00F66637">
              <w:t>Analisa</w:t>
            </w:r>
            <w:proofErr w:type="spellEnd"/>
            <w:r w:rsidR="00F66637">
              <w:t xml:space="preserve"> </w:t>
            </w:r>
            <w:proofErr w:type="spellStart"/>
            <w:r w:rsidR="00F66637">
              <w:t>Resiko</w:t>
            </w:r>
            <w:proofErr w:type="spellEnd"/>
            <w:r w:rsidR="00F66637">
              <w:t xml:space="preserve"> </w:t>
            </w:r>
            <w:proofErr w:type="spellStart"/>
            <w:r w:rsidR="00F66637">
              <w:t>di</w:t>
            </w:r>
            <w:proofErr w:type="spellEnd"/>
            <w:r w:rsidR="00F66637">
              <w:t xml:space="preserve"> </w:t>
            </w:r>
            <w:proofErr w:type="spellStart"/>
            <w:r w:rsidR="00F66637">
              <w:t>tiap</w:t>
            </w:r>
            <w:proofErr w:type="spellEnd"/>
            <w:r w:rsidR="00F66637">
              <w:t xml:space="preserve"> </w:t>
            </w:r>
            <w:proofErr w:type="spellStart"/>
            <w:r w:rsidR="00F66637">
              <w:t>departemen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dapat</w:t>
            </w:r>
            <w:proofErr w:type="spellEnd"/>
            <w:r w:rsidR="00F66637">
              <w:t xml:space="preserve"> </w:t>
            </w:r>
            <w:proofErr w:type="spellStart"/>
            <w:r w:rsidR="00F66637">
              <w:t>diselesaikan</w:t>
            </w:r>
            <w:proofErr w:type="spellEnd"/>
            <w:r w:rsidR="00F66637">
              <w:t xml:space="preserve"> </w:t>
            </w:r>
            <w:proofErr w:type="spellStart"/>
            <w:r w:rsidR="00F66637">
              <w:t>sesuai</w:t>
            </w:r>
            <w:proofErr w:type="spellEnd"/>
            <w:r w:rsidR="00F66637">
              <w:t xml:space="preserve"> </w:t>
            </w:r>
            <w:proofErr w:type="spellStart"/>
            <w:r w:rsidR="00F66637">
              <w:t>dengan</w:t>
            </w:r>
            <w:proofErr w:type="spellEnd"/>
            <w:r w:rsidR="00F66637">
              <w:t xml:space="preserve"> target </w:t>
            </w:r>
            <w:proofErr w:type="spellStart"/>
            <w:r w:rsidR="00F66637">
              <w:t>waktu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sudah</w:t>
            </w:r>
            <w:proofErr w:type="spellEnd"/>
            <w:r w:rsidR="00F66637">
              <w:t xml:space="preserve"> </w:t>
            </w:r>
            <w:proofErr w:type="spellStart"/>
            <w:r w:rsidR="00F66637">
              <w:t>ditetapkan</w:t>
            </w:r>
            <w:proofErr w:type="spellEnd"/>
            <w:r w:rsidR="00F66637">
              <w:t xml:space="preserve"> </w:t>
            </w:r>
            <w:proofErr w:type="spellStart"/>
            <w:r w:rsidR="00F66637">
              <w:t>yaitu</w:t>
            </w:r>
            <w:proofErr w:type="spellEnd"/>
            <w:r w:rsidR="00F66637">
              <w:t xml:space="preserve"> semester-1 (</w:t>
            </w:r>
            <w:proofErr w:type="spellStart"/>
            <w:r w:rsidR="00F66637">
              <w:t>Januari</w:t>
            </w:r>
            <w:proofErr w:type="spellEnd"/>
            <w:r w:rsidR="00F66637">
              <w:t xml:space="preserve"> </w:t>
            </w:r>
            <w:proofErr w:type="spellStart"/>
            <w:r w:rsidR="00F66637">
              <w:t>s.d</w:t>
            </w:r>
            <w:proofErr w:type="spellEnd"/>
            <w:r w:rsidR="00F66637">
              <w:t xml:space="preserve"> </w:t>
            </w:r>
            <w:proofErr w:type="spellStart"/>
            <w:r w:rsidR="00F66637">
              <w:t>Juni</w:t>
            </w:r>
            <w:proofErr w:type="spellEnd"/>
            <w:r w:rsidR="00F66637">
              <w:t xml:space="preserve">) </w:t>
            </w:r>
            <w:proofErr w:type="spellStart"/>
            <w:r w:rsidR="00F66637">
              <w:t>dan</w:t>
            </w:r>
            <w:proofErr w:type="spellEnd"/>
            <w:r w:rsidR="00F66637">
              <w:t xml:space="preserve"> semester-2 (</w:t>
            </w:r>
            <w:proofErr w:type="spellStart"/>
            <w:r w:rsidR="00F66637">
              <w:t>juli</w:t>
            </w:r>
            <w:proofErr w:type="spellEnd"/>
            <w:r w:rsidR="00F66637">
              <w:t xml:space="preserve"> </w:t>
            </w:r>
            <w:proofErr w:type="spellStart"/>
            <w:r w:rsidR="00F66637">
              <w:t>s.d</w:t>
            </w:r>
            <w:proofErr w:type="spellEnd"/>
            <w:r w:rsidR="00F66637">
              <w:t xml:space="preserve"> </w:t>
            </w:r>
            <w:proofErr w:type="spellStart"/>
            <w:r w:rsidR="00F66637">
              <w:t>Desember</w:t>
            </w:r>
            <w:proofErr w:type="spellEnd"/>
            <w:r w:rsidR="00F66637">
              <w:t>)</w:t>
            </w:r>
            <w:r w:rsidR="000F7E7B">
              <w:t>.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 w:rsidR="000F7E7B">
              <w:t>berdasar</w:t>
            </w:r>
            <w:proofErr w:type="spellEnd"/>
            <w:r w:rsidR="000F7E7B">
              <w:t xml:space="preserve"> </w:t>
            </w:r>
            <w:proofErr w:type="spellStart"/>
            <w:r w:rsidR="000F7E7B">
              <w:t>hasil</w:t>
            </w:r>
            <w:proofErr w:type="spellEnd"/>
            <w:r w:rsidR="000F7E7B">
              <w:t xml:space="preserve"> audit agar </w:t>
            </w:r>
            <w:r>
              <w:t xml:space="preserve"> :</w:t>
            </w:r>
          </w:p>
          <w:p w:rsidR="000D64C3" w:rsidRDefault="000F7E7B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>
              <w:t xml:space="preserve">,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system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ISO 9001:2015</w:t>
            </w:r>
          </w:p>
          <w:p w:rsidR="000D64C3" w:rsidRDefault="00F66637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dikelola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internal audit </w:t>
            </w:r>
            <w:proofErr w:type="spellStart"/>
            <w:r>
              <w:t>dan</w:t>
            </w:r>
            <w:proofErr w:type="spellEnd"/>
            <w:r>
              <w:t xml:space="preserve"> ISO, </w:t>
            </w:r>
            <w:proofErr w:type="spellStart"/>
            <w:r>
              <w:t>dengan</w:t>
            </w:r>
            <w:proofErr w:type="spellEnd"/>
            <w:r>
              <w:t xml:space="preserve"> focus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ditetapkan</w:t>
            </w:r>
          </w:p>
          <w:p w:rsidR="00C4104D" w:rsidRPr="00566B18" w:rsidRDefault="00571895" w:rsidP="00571895">
            <w:pPr>
              <w:pStyle w:val="ListParagraph"/>
              <w:numPr>
                <w:ilvl w:val="0"/>
                <w:numId w:val="7"/>
              </w:numPr>
              <w:ind w:left="1152"/>
            </w:pPr>
            <w:r>
              <w:t xml:space="preserve">Improvement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, 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kondisinya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actual agar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</w:p>
        </w:tc>
      </w:tr>
      <w:tr w:rsidR="00BB3174" w:rsidTr="00527340">
        <w:tc>
          <w:tcPr>
            <w:tcW w:w="10980" w:type="dxa"/>
            <w:gridSpan w:val="13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Default="00BB3174" w:rsidP="00BB3174">
            <w:pPr>
              <w:jc w:val="center"/>
            </w:pPr>
            <w:proofErr w:type="spellStart"/>
            <w:r w:rsidRPr="00BB3174">
              <w:t>Notulen</w:t>
            </w:r>
            <w:proofErr w:type="spellEnd"/>
            <w:r>
              <w:t>,</w:t>
            </w:r>
          </w:p>
          <w:p w:rsidR="00BB3174" w:rsidRDefault="00BB3174" w:rsidP="00BB3174">
            <w:pPr>
              <w:jc w:val="center"/>
            </w:pPr>
          </w:p>
          <w:p w:rsid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  <w:rPr>
                <w:u w:val="single"/>
              </w:rPr>
            </w:pPr>
            <w:r w:rsidRPr="00BB3174">
              <w:rPr>
                <w:u w:val="single"/>
              </w:rPr>
              <w:t>Agung T.</w:t>
            </w: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1BACF6AE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hybridMultilevel"/>
    <w:tmpl w:val="714CC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6B80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27A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6842B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129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1264A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7643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90D1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00A5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9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33D3F"/>
    <w:rsid w:val="000246E0"/>
    <w:rsid w:val="00033F12"/>
    <w:rsid w:val="00035A4C"/>
    <w:rsid w:val="0003677F"/>
    <w:rsid w:val="00056BA0"/>
    <w:rsid w:val="0007655E"/>
    <w:rsid w:val="00084584"/>
    <w:rsid w:val="00086985"/>
    <w:rsid w:val="000949D3"/>
    <w:rsid w:val="000A1439"/>
    <w:rsid w:val="000D64C3"/>
    <w:rsid w:val="000D6C2A"/>
    <w:rsid w:val="000F7E7B"/>
    <w:rsid w:val="00111B9A"/>
    <w:rsid w:val="001126AD"/>
    <w:rsid w:val="00114C4A"/>
    <w:rsid w:val="001451DC"/>
    <w:rsid w:val="001505A9"/>
    <w:rsid w:val="00157CC6"/>
    <w:rsid w:val="001678AD"/>
    <w:rsid w:val="00175AFC"/>
    <w:rsid w:val="001846B3"/>
    <w:rsid w:val="00191E99"/>
    <w:rsid w:val="00192A26"/>
    <w:rsid w:val="00195F1E"/>
    <w:rsid w:val="001A385A"/>
    <w:rsid w:val="001A72B3"/>
    <w:rsid w:val="001B75CB"/>
    <w:rsid w:val="001C2940"/>
    <w:rsid w:val="001E119F"/>
    <w:rsid w:val="001E3E1F"/>
    <w:rsid w:val="00201D0F"/>
    <w:rsid w:val="00211345"/>
    <w:rsid w:val="00217C08"/>
    <w:rsid w:val="002233D0"/>
    <w:rsid w:val="00223613"/>
    <w:rsid w:val="00262914"/>
    <w:rsid w:val="00264477"/>
    <w:rsid w:val="002778D1"/>
    <w:rsid w:val="002829DC"/>
    <w:rsid w:val="002A16E5"/>
    <w:rsid w:val="002F655A"/>
    <w:rsid w:val="00314334"/>
    <w:rsid w:val="00321154"/>
    <w:rsid w:val="00332A5A"/>
    <w:rsid w:val="0036440A"/>
    <w:rsid w:val="0036786C"/>
    <w:rsid w:val="00374058"/>
    <w:rsid w:val="003771B6"/>
    <w:rsid w:val="00377978"/>
    <w:rsid w:val="00381626"/>
    <w:rsid w:val="00386369"/>
    <w:rsid w:val="003A29B1"/>
    <w:rsid w:val="003D20BE"/>
    <w:rsid w:val="003D4044"/>
    <w:rsid w:val="00400BE8"/>
    <w:rsid w:val="004104FA"/>
    <w:rsid w:val="004152AE"/>
    <w:rsid w:val="00453420"/>
    <w:rsid w:val="00457980"/>
    <w:rsid w:val="00487490"/>
    <w:rsid w:val="00487D30"/>
    <w:rsid w:val="004B458F"/>
    <w:rsid w:val="004C0A54"/>
    <w:rsid w:val="004C609C"/>
    <w:rsid w:val="004C789F"/>
    <w:rsid w:val="004D5640"/>
    <w:rsid w:val="0051110D"/>
    <w:rsid w:val="00527340"/>
    <w:rsid w:val="00537F59"/>
    <w:rsid w:val="00547083"/>
    <w:rsid w:val="005662A3"/>
    <w:rsid w:val="00566B18"/>
    <w:rsid w:val="00571895"/>
    <w:rsid w:val="00572B84"/>
    <w:rsid w:val="00577C50"/>
    <w:rsid w:val="005904E0"/>
    <w:rsid w:val="005B4790"/>
    <w:rsid w:val="005D1762"/>
    <w:rsid w:val="005F11E4"/>
    <w:rsid w:val="0060268D"/>
    <w:rsid w:val="00602E55"/>
    <w:rsid w:val="00631238"/>
    <w:rsid w:val="0064288D"/>
    <w:rsid w:val="0064778A"/>
    <w:rsid w:val="006524E7"/>
    <w:rsid w:val="006618D7"/>
    <w:rsid w:val="006618EA"/>
    <w:rsid w:val="0066300D"/>
    <w:rsid w:val="0066606D"/>
    <w:rsid w:val="006723CE"/>
    <w:rsid w:val="00672683"/>
    <w:rsid w:val="00684381"/>
    <w:rsid w:val="00692AE1"/>
    <w:rsid w:val="006E10FF"/>
    <w:rsid w:val="00706352"/>
    <w:rsid w:val="007226CB"/>
    <w:rsid w:val="007361A3"/>
    <w:rsid w:val="007644C6"/>
    <w:rsid w:val="007700A4"/>
    <w:rsid w:val="007723C0"/>
    <w:rsid w:val="007961BE"/>
    <w:rsid w:val="007A3B72"/>
    <w:rsid w:val="007B3BB1"/>
    <w:rsid w:val="007D1E1C"/>
    <w:rsid w:val="007E233C"/>
    <w:rsid w:val="007E4B33"/>
    <w:rsid w:val="007F150A"/>
    <w:rsid w:val="007F3B6A"/>
    <w:rsid w:val="007F4E08"/>
    <w:rsid w:val="00824BD2"/>
    <w:rsid w:val="008264F6"/>
    <w:rsid w:val="00842E37"/>
    <w:rsid w:val="00886D61"/>
    <w:rsid w:val="008D1D90"/>
    <w:rsid w:val="008E7B63"/>
    <w:rsid w:val="00900230"/>
    <w:rsid w:val="00902C99"/>
    <w:rsid w:val="00904894"/>
    <w:rsid w:val="00922292"/>
    <w:rsid w:val="00927D13"/>
    <w:rsid w:val="009550F8"/>
    <w:rsid w:val="00957067"/>
    <w:rsid w:val="0097717A"/>
    <w:rsid w:val="009925E4"/>
    <w:rsid w:val="00993649"/>
    <w:rsid w:val="00996C40"/>
    <w:rsid w:val="009A3885"/>
    <w:rsid w:val="009C2C6B"/>
    <w:rsid w:val="00A03AF9"/>
    <w:rsid w:val="00A048A2"/>
    <w:rsid w:val="00A27A3C"/>
    <w:rsid w:val="00A43E17"/>
    <w:rsid w:val="00A4710A"/>
    <w:rsid w:val="00A61358"/>
    <w:rsid w:val="00AC2FE7"/>
    <w:rsid w:val="00AC58D7"/>
    <w:rsid w:val="00AE220A"/>
    <w:rsid w:val="00AE5F75"/>
    <w:rsid w:val="00AF000E"/>
    <w:rsid w:val="00B03034"/>
    <w:rsid w:val="00B05EC4"/>
    <w:rsid w:val="00B1038C"/>
    <w:rsid w:val="00B152BE"/>
    <w:rsid w:val="00B3113F"/>
    <w:rsid w:val="00B32657"/>
    <w:rsid w:val="00B4099B"/>
    <w:rsid w:val="00B50F19"/>
    <w:rsid w:val="00B62B00"/>
    <w:rsid w:val="00B77DAF"/>
    <w:rsid w:val="00B84468"/>
    <w:rsid w:val="00B916F7"/>
    <w:rsid w:val="00B93ADA"/>
    <w:rsid w:val="00B95BDF"/>
    <w:rsid w:val="00BB3174"/>
    <w:rsid w:val="00BB42BB"/>
    <w:rsid w:val="00BD140C"/>
    <w:rsid w:val="00BE734D"/>
    <w:rsid w:val="00C001E1"/>
    <w:rsid w:val="00C02236"/>
    <w:rsid w:val="00C24F5A"/>
    <w:rsid w:val="00C35323"/>
    <w:rsid w:val="00C4104D"/>
    <w:rsid w:val="00C71C92"/>
    <w:rsid w:val="00C773BF"/>
    <w:rsid w:val="00C83D6B"/>
    <w:rsid w:val="00CD4743"/>
    <w:rsid w:val="00CE5670"/>
    <w:rsid w:val="00CF2711"/>
    <w:rsid w:val="00CF5F49"/>
    <w:rsid w:val="00D239AD"/>
    <w:rsid w:val="00D30348"/>
    <w:rsid w:val="00D35893"/>
    <w:rsid w:val="00D44D51"/>
    <w:rsid w:val="00D552FA"/>
    <w:rsid w:val="00D67798"/>
    <w:rsid w:val="00D811F6"/>
    <w:rsid w:val="00D9058B"/>
    <w:rsid w:val="00D96F49"/>
    <w:rsid w:val="00DD16D4"/>
    <w:rsid w:val="00DD19FC"/>
    <w:rsid w:val="00DD22BA"/>
    <w:rsid w:val="00DF4E6D"/>
    <w:rsid w:val="00E20796"/>
    <w:rsid w:val="00E217F1"/>
    <w:rsid w:val="00E26645"/>
    <w:rsid w:val="00E3141C"/>
    <w:rsid w:val="00E33D3F"/>
    <w:rsid w:val="00E346E9"/>
    <w:rsid w:val="00E437B4"/>
    <w:rsid w:val="00E84782"/>
    <w:rsid w:val="00EA2BB5"/>
    <w:rsid w:val="00ED3EB7"/>
    <w:rsid w:val="00EE2485"/>
    <w:rsid w:val="00EF44E9"/>
    <w:rsid w:val="00F26CA8"/>
    <w:rsid w:val="00F27A8A"/>
    <w:rsid w:val="00F34DFA"/>
    <w:rsid w:val="00F46762"/>
    <w:rsid w:val="00F66637"/>
    <w:rsid w:val="00F76C40"/>
    <w:rsid w:val="00F97D72"/>
    <w:rsid w:val="00FA3532"/>
    <w:rsid w:val="00FB7247"/>
    <w:rsid w:val="00FD1C59"/>
    <w:rsid w:val="00FE1D2F"/>
    <w:rsid w:val="00FE1E24"/>
    <w:rsid w:val="00FE581C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BDEE-14CE-4F75-BFF4-CAC5D6CE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1148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22</cp:revision>
  <cp:lastPrinted>2018-04-10T01:45:00Z</cp:lastPrinted>
  <dcterms:created xsi:type="dcterms:W3CDTF">2019-05-16T07:50:00Z</dcterms:created>
  <dcterms:modified xsi:type="dcterms:W3CDTF">2020-01-22T06:50:00Z</dcterms:modified>
</cp:coreProperties>
</file>