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58BF36C5" w:rsidR="005E3FF4" w:rsidRDefault="00B840AC" w:rsidP="001E5769">
            <w:pPr>
              <w:pStyle w:val="Heading1"/>
            </w:pPr>
            <w:r>
              <w:t>FORMULIR TEMUAN KETIDAKSESUAIAN &amp; TINDAKAN PERBAIKAN</w:t>
            </w:r>
            <w:r w:rsidR="0000080E">
              <w:t xml:space="preserve"> </w:t>
            </w:r>
            <w:r>
              <w:t>(F-TKTP)</w:t>
            </w:r>
          </w:p>
          <w:p w14:paraId="431B8EA6" w14:textId="0335B1D1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6C81DA2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0293EDED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69D258CE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13AB3BF7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FD7733A" w14:textId="424E22D6" w:rsidR="00C02B88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BA1C12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revisi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mengatur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ROP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digital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CIS,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sz w:val="22"/>
              </w:rPr>
              <w:t xml:space="preserve">oleh </w:t>
            </w:r>
            <w:r w:rsidR="00811D34" w:rsidRPr="00811D34">
              <w:rPr>
                <w:rFonts w:ascii="Arial Narrow" w:hAnsi="Arial Narrow"/>
                <w:sz w:val="22"/>
              </w:rPr>
              <w:t>SCM</w:t>
            </w:r>
            <w:r w:rsidRPr="00811D34">
              <w:rPr>
                <w:rFonts w:ascii="Arial Narrow" w:hAnsi="Arial Narrow"/>
                <w:sz w:val="22"/>
              </w:rPr>
              <w:t>.</w:t>
            </w:r>
          </w:p>
          <w:p w14:paraId="2CD78AC8" w14:textId="46E819F9" w:rsidR="006C3A89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juga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gambaran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flowchart</w:t>
            </w:r>
            <w:r w:rsidR="00484BE3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format SOP CINT)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482E759B" w14:textId="05AADEBF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785D63C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083D875D" w:rsidR="005E3FF4" w:rsidRPr="00182EB4" w:rsidRDefault="00B840AC" w:rsidP="006C3A8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Sistem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Mutu dan Proses</w:t>
            </w:r>
            <w:r w:rsidR="00C02B88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7B8C00C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BA1C12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55913A66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3CA91C2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2D63A13D" w:rsidR="005E3FF4" w:rsidRDefault="006C3A89" w:rsidP="00DA5B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3AFDB6A3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01ED8425" w:rsidR="005E3FF4" w:rsidRDefault="001E5769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0D1ACED" wp14:editId="0324B442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11430</wp:posOffset>
                  </wp:positionV>
                  <wp:extent cx="895350" cy="368300"/>
                  <wp:effectExtent l="0" t="0" r="0" b="0"/>
                  <wp:wrapNone/>
                  <wp:docPr id="3" name="Picture 3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E82D9FB" wp14:editId="6197B8AE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17780</wp:posOffset>
                  </wp:positionV>
                  <wp:extent cx="831850" cy="3683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A48C2" w14:textId="563D2A7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228E0CD6" w:rsidR="005E3FF4" w:rsidRDefault="001E576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7936" behindDoc="1" locked="0" layoutInCell="1" allowOverlap="1" wp14:anchorId="1B18185D" wp14:editId="55D1331F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106680</wp:posOffset>
                  </wp:positionV>
                  <wp:extent cx="1101528" cy="85788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/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yaitu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245B3EDE" w:rsidR="005E3FF4" w:rsidRDefault="00811D34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1179485D" w:rsidR="005E3FF4" w:rsidRDefault="00811D34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17CBC62D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00565A88" w:rsidR="005E3FF4" w:rsidRDefault="002765B0" w:rsidP="002765B0">
            <w:pPr>
              <w:tabs>
                <w:tab w:val="left" w:pos="137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14:paraId="6C2818A9" w14:textId="0FDAF343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0C3684B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:rsidRPr="002765B0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1CBE4AC5" w:rsidR="005E3FF4" w:rsidRDefault="00635C4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system CIS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SCM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4B472EE6" w14:textId="77777777" w:rsidR="00635C46" w:rsidRDefault="00635C46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Pr="002765B0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</w:t>
            </w:r>
            <w:r w:rsidR="00272741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perlu</w:t>
            </w:r>
            <w:r w:rsidR="00272741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dapat</w:t>
            </w:r>
            <w:r w:rsidR="00272741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272741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pada</w:t>
            </w:r>
            <w:r w:rsidR="00272741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kertas lain)</w:t>
            </w:r>
          </w:p>
        </w:tc>
      </w:tr>
      <w:tr w:rsidR="005E3FF4" w:rsidRPr="002765B0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Pr="002765B0" w:rsidRDefault="00B840AC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B3. Rencana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tindakan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perbaikan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yang akan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dilakukan :</w:t>
            </w:r>
          </w:p>
          <w:p w14:paraId="0E20C67A" w14:textId="77777777" w:rsidR="005E3FF4" w:rsidRPr="002765B0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3BE172E" w14:textId="052AE84E" w:rsidR="00A758C0" w:rsidRPr="002765B0" w:rsidRDefault="00A758C0" w:rsidP="006C3A89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7FAD099E" w14:textId="6253AD6F" w:rsidR="00223BC6" w:rsidRPr="002765B0" w:rsidRDefault="00635C46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Akan disesuaikan redaksi dalam IK tersebut.</w:t>
            </w:r>
            <w:r w:rsidRPr="002765B0">
              <w:rPr>
                <w:rFonts w:ascii="Arial Narrow" w:hAnsi="Arial Narrow"/>
                <w:sz w:val="22"/>
                <w:lang w:val="de-DE"/>
              </w:rPr>
              <w:br/>
              <w:t>Redaksi yang semua ROP (Rencana Order Pelanggan) diubah menjadi Fix Order Pelanggann (FOP)</w:t>
            </w:r>
          </w:p>
          <w:p w14:paraId="7A441D3B" w14:textId="77777777" w:rsidR="00D5640B" w:rsidRPr="002765B0" w:rsidRDefault="00D5640B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7393F3F" w14:textId="77777777" w:rsidR="00AF309F" w:rsidRPr="002765B0" w:rsidRDefault="00AF309F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8F39CFF" w14:textId="264FDBE9" w:rsidR="005E3FF4" w:rsidRPr="002765B0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2765B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2765B0">
              <w:rPr>
                <w:rFonts w:ascii="Arial Narrow" w:hAnsi="Arial Narrow"/>
                <w:sz w:val="22"/>
                <w:lang w:val="de-DE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58D581DE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27 Mei 2024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:rsidRPr="002765B0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A59F23F" w14:textId="77777777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0EF4128" w14:textId="32BC8FFD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Telah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SOP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RPPJ,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5A37718" w14:textId="1AB37BE6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7BA9120D" w:rsidR="00696E37" w:rsidRPr="00182EB4" w:rsidRDefault="00696E37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Sistem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Mutu dan Proses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3074B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3074B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C9AB3BE" w14:textId="7607388A" w:rsidR="00696E37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256C21A9" wp14:editId="4EFAB5FE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38735</wp:posOffset>
                  </wp:positionV>
                  <wp:extent cx="895350" cy="368300"/>
                  <wp:effectExtent l="0" t="0" r="0" b="0"/>
                  <wp:wrapNone/>
                  <wp:docPr id="4" name="Picture 4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73D76027" wp14:editId="22A5C42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45085</wp:posOffset>
                  </wp:positionV>
                  <wp:extent cx="831850" cy="368300"/>
                  <wp:effectExtent l="0" t="0" r="635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E5105" w14:textId="7E77E724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627D9DF7" w:rsidR="00696E37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5888" behindDoc="1" locked="0" layoutInCell="1" allowOverlap="1" wp14:anchorId="02FB2212" wp14:editId="4F9267EF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132715</wp:posOffset>
                  </wp:positionV>
                  <wp:extent cx="1101528" cy="85788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E37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akan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yaitu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66BB3160" w:rsidR="00696E37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5B52E9E2" w:rsidR="00696E37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694D04CE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4B9F091" w14:textId="489A7FF6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5E2A29FB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4C548BA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:rsidRPr="002765B0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56F98E8B" w:rsidR="00696E37" w:rsidRDefault="00635C4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bagian-bagian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APS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16 Mei 2024.</w:t>
            </w: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696E37" w:rsidRPr="002765B0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Pr="002765B0" w:rsidRDefault="00696E37" w:rsidP="00523B1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75331188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33488B0" w14:textId="6D5515D0" w:rsidR="00696E37" w:rsidRPr="002765B0" w:rsidRDefault="00635C46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RPPJ akan diterbitkan sesuai SOP tersebut untuk APS bulan Juni </w:t>
            </w:r>
            <w:r w:rsidR="00A61F7B" w:rsidRPr="002765B0">
              <w:rPr>
                <w:rFonts w:ascii="Arial Narrow" w:hAnsi="Arial Narrow"/>
                <w:sz w:val="22"/>
                <w:lang w:val="de-DE"/>
              </w:rPr>
              <w:t>dan selanjutnya.</w:t>
            </w:r>
          </w:p>
          <w:p w14:paraId="516CB28F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20B03FF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BA524A2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97B09E8" w14:textId="77777777" w:rsidR="00696E37" w:rsidRPr="002765B0" w:rsidRDefault="00696E37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0A9CE53F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29 Mei 2024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:rsidRPr="002765B0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2AA82ABC" w14:textId="1A6C821E" w:rsidR="00BB1CA6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 </w:t>
            </w:r>
            <w:proofErr w:type="spellStart"/>
            <w:r>
              <w:rPr>
                <w:rFonts w:ascii="Arial Narrow" w:hAnsi="Arial Narrow"/>
                <w:sz w:val="22"/>
              </w:rPr>
              <w:t>Nursingbed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07C382E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0883F3F0" w14:textId="4FC8694D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67C95D9" w14:textId="77777777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6764C701" w:rsidR="00BB1CA6" w:rsidRPr="00182EB4" w:rsidRDefault="00BB1CA6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13050D">
              <w:rPr>
                <w:rFonts w:ascii="Arial Narrow" w:hAnsi="Arial Narrow"/>
                <w:sz w:val="22"/>
              </w:rPr>
              <w:t xml:space="preserve"> </w:t>
            </w:r>
            <w:r w:rsidR="00467542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77777777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8B5634A" w14:textId="14CFE493" w:rsidR="00BB1CA6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515D4C33" wp14:editId="7C46BC6F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29845</wp:posOffset>
                  </wp:positionV>
                  <wp:extent cx="831850" cy="368300"/>
                  <wp:effectExtent l="0" t="0" r="635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5F285EED" wp14:editId="67D0C3F7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23495</wp:posOffset>
                  </wp:positionV>
                  <wp:extent cx="895350" cy="368300"/>
                  <wp:effectExtent l="0" t="0" r="0" b="0"/>
                  <wp:wrapNone/>
                  <wp:docPr id="7" name="Picture 7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ED0CB" w14:textId="7FFEEF6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6C751C3" w:rsidR="00BB1CA6" w:rsidRPr="008939CB" w:rsidRDefault="001E5769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8960" behindDoc="1" locked="0" layoutInCell="1" allowOverlap="1" wp14:anchorId="4B6B47AA" wp14:editId="472ADC54">
                  <wp:simplePos x="0" y="0"/>
                  <wp:positionH relativeFrom="column">
                    <wp:posOffset>5133975</wp:posOffset>
                  </wp:positionH>
                  <wp:positionV relativeFrom="paragraph">
                    <wp:posOffset>140335</wp:posOffset>
                  </wp:positionV>
                  <wp:extent cx="996915" cy="1106101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td Febby.pn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721" b="92704" l="10476" r="847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15" cy="110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CA6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6ADA92C3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5EC883C7" w:rsidR="00BB1CA6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Febby </w:t>
            </w:r>
            <w:proofErr w:type="spellStart"/>
            <w:r>
              <w:rPr>
                <w:rFonts w:ascii="Arial Narrow" w:hAnsi="Arial Narrow"/>
                <w:sz w:val="22"/>
              </w:rPr>
              <w:t>Ferdiana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S.</w:t>
            </w: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2A5E5A0C" w:rsidR="00BB1CA6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Global </w:t>
            </w:r>
            <w:proofErr w:type="spellStart"/>
            <w:r>
              <w:rPr>
                <w:rFonts w:ascii="Arial Narrow" w:hAnsi="Arial Narrow"/>
                <w:sz w:val="22"/>
              </w:rPr>
              <w:t>Sourcing&amp;Nursing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Bed</w:t>
            </w: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5FBEC1D1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336BC1A" w14:textId="6FBF7F22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0202E0D5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02D31488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:rsidRPr="002765B0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1DF8E9DA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2DA6B1E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56C65A50" w:rsidR="00BB1CA6" w:rsidRDefault="001D4DDE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Survey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didapatkan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 </w:t>
            </w:r>
            <w:proofErr w:type="spellStart"/>
            <w:r>
              <w:rPr>
                <w:rFonts w:ascii="Arial Narrow" w:hAnsi="Arial Narrow"/>
                <w:sz w:val="22"/>
              </w:rPr>
              <w:t>responden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evaluasinya</w:t>
            </w:r>
            <w:proofErr w:type="spellEnd"/>
          </w:p>
          <w:p w14:paraId="37D9555D" w14:textId="36380828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0C64A04A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B1CA6" w:rsidRPr="002765B0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Pr="002765B0" w:rsidRDefault="00BB1CA6" w:rsidP="00523B1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4071DD79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B4A3E33" w14:textId="36A1E18C" w:rsidR="00BB1CA6" w:rsidRPr="002765B0" w:rsidRDefault="001D4DDE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Akan dibuatkan evaluasi hasil survey kepuasan pelanggan nursing bed</w:t>
            </w:r>
          </w:p>
          <w:p w14:paraId="1A41232A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FEEC6D1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64E217C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E67588E" w14:textId="77777777" w:rsidR="00BB1CA6" w:rsidRPr="002765B0" w:rsidRDefault="00BB1CA6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2A2CD8BD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1D4DDE">
              <w:rPr>
                <w:rFonts w:ascii="Arial Narrow" w:hAnsi="Arial Narrow"/>
                <w:sz w:val="22"/>
              </w:rPr>
              <w:t>31 Mei 2024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:rsidRPr="002765B0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7144065E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r w:rsidR="00811D34">
              <w:rPr>
                <w:rFonts w:ascii="Arial Narrow" w:hAnsi="Arial Narrow"/>
                <w:sz w:val="22"/>
              </w:rPr>
              <w:t>Sales &amp;</w:t>
            </w:r>
            <w:r>
              <w:rPr>
                <w:rFonts w:ascii="Arial Narrow" w:hAnsi="Arial Narrow"/>
                <w:sz w:val="22"/>
              </w:rPr>
              <w:t xml:space="preserve"> Distribution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2024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 w:rsidR="00434FB6">
              <w:rPr>
                <w:rFonts w:ascii="Arial Narrow" w:hAnsi="Arial Narrow"/>
                <w:sz w:val="22"/>
              </w:rPr>
              <w:t>.</w:t>
            </w:r>
          </w:p>
          <w:p w14:paraId="020BE2CB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F9390DD" w14:textId="0EFE238C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6A678E4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77777777" w:rsidR="00FE15B4" w:rsidRPr="00182EB4" w:rsidRDefault="00FE15B4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77777777" w:rsidR="00FE15B4" w:rsidRDefault="00FE15B4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F2EC632" w14:textId="3C5F719A" w:rsidR="00FE15B4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67FC5FAF" wp14:editId="53B5281D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61595</wp:posOffset>
                  </wp:positionV>
                  <wp:extent cx="895350" cy="368300"/>
                  <wp:effectExtent l="0" t="0" r="0" b="0"/>
                  <wp:wrapNone/>
                  <wp:docPr id="9" name="Picture 9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9504" behindDoc="0" locked="0" layoutInCell="1" allowOverlap="1" wp14:anchorId="1FC2F727" wp14:editId="0500A707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67945</wp:posOffset>
                  </wp:positionV>
                  <wp:extent cx="831850" cy="368300"/>
                  <wp:effectExtent l="0" t="0" r="635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62DE1" w14:textId="627679B9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0B222BE5" w:rsidR="00FE15B4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3840" behindDoc="1" locked="0" layoutInCell="1" allowOverlap="1" wp14:anchorId="0D79A588" wp14:editId="3D91F2FF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116840</wp:posOffset>
                  </wp:positionV>
                  <wp:extent cx="1101528" cy="8578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15B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akan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yaitu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5BD163C4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77449DA9" w:rsidR="00FE15B4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72D72D26" w:rsidR="00FE15B4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Sales &amp; Distribution</w:t>
            </w: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122FDDE5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12364A4" w14:textId="7AE054CD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:rsidRPr="002765B0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66D9E6D3" w:rsidR="00FE15B4" w:rsidRDefault="00A61F7B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BSC </w:t>
            </w: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Ibu Diah (HC)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bobotnya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29 April.</w:t>
            </w: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FE15B4" w:rsidRPr="002765B0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Pr="002765B0" w:rsidRDefault="00FE15B4" w:rsidP="00523B1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21585142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4322545" w14:textId="40134AF3" w:rsidR="00FE15B4" w:rsidRPr="002765B0" w:rsidRDefault="00A61F7B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Akand dilengkapi dengan pencapaian bulan April.</w:t>
            </w:r>
          </w:p>
          <w:p w14:paraId="22CCAF2B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168DC11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ECF2AAD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7CA51905" w14:textId="77777777" w:rsidR="00FE15B4" w:rsidRPr="002765B0" w:rsidRDefault="00FE15B4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107675C3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27 Mei 2024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4C907A7C" w14:textId="5DB7B220" w:rsidR="00434FB6" w:rsidRDefault="00434FB6" w:rsidP="00011481"/>
    <w:p w14:paraId="6B394F9D" w14:textId="10B019A6" w:rsidR="00434FB6" w:rsidRDefault="00434FB6" w:rsidP="00011481"/>
    <w:p w14:paraId="4ED4A017" w14:textId="4E0E6154" w:rsidR="00434FB6" w:rsidRDefault="00434FB6" w:rsidP="00011481"/>
    <w:p w14:paraId="18B8BE97" w14:textId="02746FFD" w:rsidR="00434FB6" w:rsidRDefault="00434FB6" w:rsidP="00011481"/>
    <w:p w14:paraId="47F8FB2D" w14:textId="35C8C504" w:rsidR="00434FB6" w:rsidRDefault="00434FB6" w:rsidP="00011481"/>
    <w:p w14:paraId="723B08DC" w14:textId="5DCFDB07" w:rsidR="00434FB6" w:rsidRDefault="00434FB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06335" w14:paraId="19EA3679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1BAE401" w14:textId="77777777" w:rsidR="00506335" w:rsidRDefault="00506335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C9B437" w14:textId="77777777" w:rsidR="00506335" w:rsidRDefault="00506335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6A134EC9" w14:textId="77777777" w:rsidR="00506335" w:rsidRPr="00503A63" w:rsidRDefault="00506335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1C266B1" w14:textId="77777777" w:rsidR="00506335" w:rsidRDefault="00506335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6335" w14:paraId="14B45D6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6CD7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06335" w:rsidRPr="002765B0" w14:paraId="4FD9088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33F1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289F5B" w14:textId="77777777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349DC6" w14:textId="7029B91B" w:rsidR="00506335" w:rsidRPr="002765B0" w:rsidRDefault="00506335" w:rsidP="00506335">
            <w:pPr>
              <w:jc w:val="both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Perjanjian Kerjasama dengan vendor angkutan untuk periode tahun 2024 belum dilakukan pembaharuan.</w:t>
            </w:r>
          </w:p>
          <w:p w14:paraId="0BAF3387" w14:textId="1BE4CDFB" w:rsidR="00506335" w:rsidRPr="002765B0" w:rsidRDefault="00506335" w:rsidP="00506335">
            <w:pPr>
              <w:jc w:val="both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Pembaharuan baru dilakukan pada 1 vendor saja (Garuda).</w:t>
            </w:r>
          </w:p>
          <w:p w14:paraId="5195985C" w14:textId="33BEDD5E" w:rsidR="00506335" w:rsidRPr="002765B0" w:rsidRDefault="00506335" w:rsidP="00523B17">
            <w:pPr>
              <w:jc w:val="both"/>
              <w:rPr>
                <w:rFonts w:ascii="Arial Narrow" w:hAnsi="Arial Narrow"/>
                <w:sz w:val="22"/>
                <w:lang w:val="de-DE"/>
              </w:rPr>
            </w:pPr>
          </w:p>
          <w:p w14:paraId="3C3F280E" w14:textId="77777777" w:rsidR="00506335" w:rsidRPr="002765B0" w:rsidRDefault="00506335" w:rsidP="00523B17">
            <w:pPr>
              <w:jc w:val="both"/>
              <w:rPr>
                <w:rFonts w:ascii="Arial Narrow" w:hAnsi="Arial Narrow"/>
                <w:sz w:val="22"/>
                <w:lang w:val="de-DE"/>
              </w:rPr>
            </w:pPr>
          </w:p>
          <w:p w14:paraId="7302DCAF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506335" w14:paraId="6B6DAFA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077A" w14:textId="242933F5" w:rsidR="00506335" w:rsidRPr="00182EB4" w:rsidRDefault="00506335" w:rsidP="0050633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75144">
              <w:rPr>
                <w:rFonts w:ascii="Arial Narrow" w:hAnsi="Arial Narrow"/>
                <w:sz w:val="22"/>
              </w:rPr>
              <w:t xml:space="preserve">8.4.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Proses,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dan Jasa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Pihak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Eksternal</w:t>
            </w:r>
            <w:proofErr w:type="spellEnd"/>
          </w:p>
        </w:tc>
      </w:tr>
      <w:tr w:rsidR="00506335" w14:paraId="5D736D8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AB4C" w14:textId="77777777" w:rsidR="00506335" w:rsidRDefault="00506335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06335" w14:paraId="502C59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DBF7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06335" w14:paraId="5FAE7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5014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D4DDB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D4A96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6EA2B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1C64424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509AA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849DD3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4B8A46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87F55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3CDAB523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63C69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C6AEFA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338D0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0B6281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72C354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604864A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6A07FC7" w14:textId="1AE87F5E" w:rsidR="00506335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74624" behindDoc="0" locked="0" layoutInCell="1" allowOverlap="1" wp14:anchorId="392B4852" wp14:editId="6CD5734C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31115</wp:posOffset>
                  </wp:positionV>
                  <wp:extent cx="895350" cy="368300"/>
                  <wp:effectExtent l="0" t="0" r="0" b="0"/>
                  <wp:wrapNone/>
                  <wp:docPr id="13" name="Picture 13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75648" behindDoc="0" locked="0" layoutInCell="1" allowOverlap="1" wp14:anchorId="3BD325B9" wp14:editId="692212A9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37465</wp:posOffset>
                  </wp:positionV>
                  <wp:extent cx="831850" cy="368300"/>
                  <wp:effectExtent l="0" t="0" r="635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2C64B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8DEC4A" w14:textId="77777777" w:rsidR="00506335" w:rsidRPr="00C27C69" w:rsidRDefault="00506335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06335" w14:paraId="4262DD6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DF57" w14:textId="77777777" w:rsidR="00506335" w:rsidRPr="008939CB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06335" w14:paraId="0363999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A4B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06335" w14:paraId="1A466BF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E34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04841F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4D64D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356B0" w14:textId="405005D2" w:rsidR="00506335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51C1871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674496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BEE4D0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25CF3DA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303C871" w14:textId="532D047A" w:rsidR="00506335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432D4D2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BF58A31" w14:textId="461BF1A6" w:rsidR="00506335" w:rsidRDefault="001E5769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1792" behindDoc="1" locked="0" layoutInCell="1" allowOverlap="1" wp14:anchorId="03319571" wp14:editId="4712942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-12700</wp:posOffset>
                  </wp:positionV>
                  <wp:extent cx="1101528" cy="85788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335">
              <w:rPr>
                <w:rFonts w:ascii="Arial Narrow" w:hAnsi="Arial Narrow"/>
                <w:sz w:val="22"/>
              </w:rPr>
              <w:t>Tanda Tangan</w:t>
            </w:r>
          </w:p>
          <w:p w14:paraId="55C34D0C" w14:textId="6E02E2D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6F97A2" w14:textId="7F10E486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18E64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06335" w:rsidRPr="002765B0" w14:paraId="30D54C0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8B1F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EEDD411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14ED65AC" w14:textId="7484AB87" w:rsidR="00506335" w:rsidRDefault="00A61F7B" w:rsidP="00523B1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mengundang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membahas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MoU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26234A0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C89C05B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BA541FF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5DE18C6E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506335" w:rsidRPr="002765B0" w14:paraId="499DDAC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69E2" w14:textId="77777777" w:rsidR="00506335" w:rsidRPr="002765B0" w:rsidRDefault="00506335" w:rsidP="00523B1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0034C591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38C0394" w14:textId="71DCEB43" w:rsidR="00506335" w:rsidRPr="002765B0" w:rsidRDefault="00A61F7B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Rencana pemanggilan vendor angkutan untuk pembahasan MoU 2024 </w:t>
            </w:r>
          </w:p>
          <w:p w14:paraId="2D71FC35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8E556BB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13D0203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7C830683" w14:textId="77777777" w:rsidR="00506335" w:rsidRPr="002765B0" w:rsidRDefault="00506335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506335" w14:paraId="770F1FE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FD8F" w14:textId="3FCB1ED2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4 Juni 2024</w:t>
            </w:r>
          </w:p>
        </w:tc>
      </w:tr>
      <w:tr w:rsidR="00506335" w14:paraId="7499EC2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C428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06335" w14:paraId="79F87EE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1CB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85897A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2F7FA45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48E0BD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CE28AED" w14:textId="77777777" w:rsidR="00506335" w:rsidRPr="002C2251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06335" w14:paraId="41164F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28ADA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C9B65D8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9ED87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E28A7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E6FD8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9980484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F2472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04A12959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5BBDDF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33E89F9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3FCF01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F5200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DA5BAC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BB8F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4A4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49D7F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EDEA6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455D0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FEFC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6E6B46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06335" w14:paraId="3A71D6AC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FECDB8C" w14:textId="77777777" w:rsidR="00506335" w:rsidRPr="004E0228" w:rsidRDefault="00506335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CAF4189" w14:textId="77777777" w:rsidR="00506335" w:rsidRDefault="00506335" w:rsidP="00523B17">
            <w:pPr>
              <w:snapToGrid w:val="0"/>
            </w:pPr>
          </w:p>
        </w:tc>
      </w:tr>
    </w:tbl>
    <w:p w14:paraId="0226B358" w14:textId="38934A07" w:rsidR="00506335" w:rsidRDefault="00506335" w:rsidP="00011481"/>
    <w:p w14:paraId="058BCD55" w14:textId="5F50E0BC" w:rsidR="00484BE3" w:rsidRDefault="00484BE3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2C0BB8B7" w14:textId="58BA13E7" w:rsidR="00484BE3" w:rsidRDefault="00484BE3" w:rsidP="00011481"/>
    <w:p w14:paraId="759A736F" w14:textId="414B6674" w:rsidR="00484BE3" w:rsidRDefault="00484BE3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84BE3" w14:paraId="01D12FC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6ADD17" w14:textId="77777777" w:rsidR="00484BE3" w:rsidRDefault="00484BE3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2AB0BEB5" w14:textId="77777777" w:rsidR="00484BE3" w:rsidRDefault="00484BE3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990E943" w14:textId="77777777" w:rsidR="00484BE3" w:rsidRPr="00503A63" w:rsidRDefault="00484BE3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751A26E" w14:textId="77777777" w:rsidR="00484BE3" w:rsidRDefault="00484BE3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BE3" w14:paraId="5E506DD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9D25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84BE3" w:rsidRPr="002765B0" w14:paraId="0A9A463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699B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EA485B" w14:textId="397F4FA3" w:rsidR="00484BE3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1EF70E" w14:textId="3FE8ABE9" w:rsidR="00484BE3" w:rsidRPr="00484BE3" w:rsidRDefault="00484BE3" w:rsidP="00523B17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84BE3">
              <w:rPr>
                <w:rFonts w:ascii="Arial Narrow" w:hAnsi="Arial Narrow"/>
                <w:b/>
                <w:sz w:val="22"/>
              </w:rPr>
              <w:t>REKOMENDASI</w:t>
            </w:r>
          </w:p>
          <w:p w14:paraId="2B31D611" w14:textId="77777777" w:rsidR="00484BE3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dan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Sales Distribution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‘Total Inventory Finish Goods,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23 </w:t>
            </w:r>
            <w:proofErr w:type="spellStart"/>
            <w:r>
              <w:rPr>
                <w:rFonts w:ascii="Arial Narrow" w:hAnsi="Arial Narrow"/>
                <w:sz w:val="22"/>
              </w:rPr>
              <w:t>milyar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’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61C7183" w14:textId="225DECE7" w:rsidR="00484BE3" w:rsidRPr="00797F42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 w:rsidRPr="00797F42">
              <w:rPr>
                <w:rFonts w:ascii="Arial Narrow" w:hAnsi="Arial Narrow"/>
                <w:sz w:val="22"/>
              </w:rPr>
              <w:t xml:space="preserve">Risk Determination (Analisa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9001,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45001 dan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Keselamatan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14001 </w:t>
            </w:r>
            <w:r w:rsidR="00157F81" w:rsidRPr="00797F42">
              <w:rPr>
                <w:rFonts w:ascii="Arial Narrow" w:hAnsi="Arial Narrow"/>
                <w:sz w:val="22"/>
              </w:rPr>
              <w:t xml:space="preserve">(HIRADC)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setiap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di </w:t>
            </w:r>
            <w:r w:rsidR="00157F81" w:rsidRPr="00797F42">
              <w:rPr>
                <w:rFonts w:ascii="Arial Narrow" w:hAnsi="Arial Narrow"/>
                <w:sz w:val="22"/>
              </w:rPr>
              <w:t xml:space="preserve">MKT SLS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pemisahan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menyesuaikan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r w:rsidR="00157F81" w:rsidRPr="00797F42">
              <w:rPr>
                <w:rFonts w:ascii="Arial Narrow" w:hAnsi="Arial Narrow"/>
                <w:sz w:val="22"/>
              </w:rPr>
              <w:t xml:space="preserve">di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>.</w:t>
            </w:r>
          </w:p>
          <w:p w14:paraId="56D608B4" w14:textId="77777777" w:rsidR="00484BE3" w:rsidRPr="00797F42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C18B30F" w14:textId="77777777" w:rsidR="00484BE3" w:rsidRPr="002765B0" w:rsidRDefault="00484BE3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484BE3" w14:paraId="7314B58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730" w14:textId="4C6C9B3C" w:rsidR="00484BE3" w:rsidRPr="00182EB4" w:rsidRDefault="00484BE3" w:rsidP="00157F8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57F81">
              <w:rPr>
                <w:rFonts w:ascii="Arial Narrow" w:hAnsi="Arial Narrow"/>
                <w:sz w:val="22"/>
              </w:rPr>
              <w:t xml:space="preserve">: </w:t>
            </w:r>
            <w:r w:rsidR="00157F81" w:rsidRP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069C72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D88" w14:textId="07B28A5C" w:rsidR="00484BE3" w:rsidRDefault="00484BE3" w:rsidP="00157F8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2B41AA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2277D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84BE3" w14:paraId="71444DE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EED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8C8D2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B10317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583D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0DF5CA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3F2E15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7BAA80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CE13CD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DA7CD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Annisa &amp; Andreas</w:t>
            </w:r>
          </w:p>
        </w:tc>
        <w:tc>
          <w:tcPr>
            <w:tcW w:w="270" w:type="dxa"/>
            <w:shd w:val="clear" w:color="auto" w:fill="auto"/>
          </w:tcPr>
          <w:p w14:paraId="12F3DD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08B4D8D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B2AEAB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7A8BA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4C492E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9A0367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554087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B994CB7" w14:textId="5AEDB574" w:rsidR="00484BE3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77696" behindDoc="0" locked="0" layoutInCell="1" allowOverlap="1" wp14:anchorId="6EC07374" wp14:editId="77F77F24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30480</wp:posOffset>
                  </wp:positionV>
                  <wp:extent cx="895350" cy="368300"/>
                  <wp:effectExtent l="0" t="0" r="0" b="0"/>
                  <wp:wrapNone/>
                  <wp:docPr id="15" name="Picture 15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78720" behindDoc="0" locked="0" layoutInCell="1" allowOverlap="1" wp14:anchorId="4F2C813B" wp14:editId="434C6B60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36830</wp:posOffset>
                  </wp:positionV>
                  <wp:extent cx="831850" cy="368300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0E1E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85F63D" w14:textId="77777777" w:rsidR="00484BE3" w:rsidRPr="00C27C69" w:rsidRDefault="00484BE3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84BE3" w14:paraId="68297D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ECFC" w14:textId="22AF8093" w:rsidR="00484BE3" w:rsidRPr="008939CB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84BE3" w14:paraId="1ED3D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FDC9" w14:textId="52D07B5B" w:rsidR="00484BE3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79744" behindDoc="1" locked="0" layoutInCell="1" allowOverlap="1" wp14:anchorId="0DBAB3C3" wp14:editId="14E5297B">
                  <wp:simplePos x="0" y="0"/>
                  <wp:positionH relativeFrom="column">
                    <wp:posOffset>5199380</wp:posOffset>
                  </wp:positionH>
                  <wp:positionV relativeFrom="paragraph">
                    <wp:posOffset>102870</wp:posOffset>
                  </wp:positionV>
                  <wp:extent cx="1101528" cy="85788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4BE3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akan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yaitu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84BE3" w14:paraId="6D2CDA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9514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845FA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56E2F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50FDFA" w14:textId="71CCA985" w:rsidR="00484BE3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342C583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441A56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5723AD5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A47A086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E5EF6C" w14:textId="7A20C536" w:rsidR="00484BE3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281EEB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5437BC0" w14:textId="62A5E211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8EF47EC" w14:textId="551D5751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A6F40A" w14:textId="04B28393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ECEC2B" w14:textId="79447885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84BE3" w:rsidRPr="002765B0" w14:paraId="0AC99C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5922" w14:textId="290EEC5B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6B35846" w14:textId="690A8ACA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94E5710" w14:textId="10764E5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D6ECE49" w14:textId="646CDD88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4EECBFAE" w14:textId="431D85A2" w:rsidR="00484BE3" w:rsidRPr="00797F42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digabung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qty dan value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business model</w:t>
            </w:r>
          </w:p>
          <w:p w14:paraId="6B82451C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FA22746" w14:textId="77777777" w:rsidR="00484BE3" w:rsidRPr="002765B0" w:rsidRDefault="00484BE3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484BE3" w:rsidRPr="002765B0" w14:paraId="00F6876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65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C54F04F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193DEBD" w14:textId="77777777" w:rsidR="00484BE3" w:rsidRPr="006C3A89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0D4E2E8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211CE01" w14:textId="36C41B8B" w:rsidR="00484BE3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business model, </w:t>
            </w:r>
            <w:proofErr w:type="spellStart"/>
            <w:r>
              <w:rPr>
                <w:rFonts w:ascii="Arial Narrow" w:hAnsi="Arial Narrow"/>
                <w:sz w:val="22"/>
              </w:rPr>
              <w:t>diantaranya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Lokal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(DH dan Others), Nursing Bed, Export,  </w:t>
            </w:r>
            <w:proofErr w:type="spellStart"/>
            <w:r>
              <w:rPr>
                <w:rFonts w:ascii="Arial Narrow" w:hAnsi="Arial Narrow"/>
                <w:sz w:val="22"/>
              </w:rPr>
              <w:t>BtoC</w:t>
            </w:r>
            <w:proofErr w:type="spellEnd"/>
            <w:r>
              <w:rPr>
                <w:rFonts w:ascii="Arial Narrow" w:hAnsi="Arial Narrow"/>
                <w:sz w:val="22"/>
              </w:rPr>
              <w:t>, Project dan AS Project</w:t>
            </w:r>
          </w:p>
          <w:p w14:paraId="1C6176F8" w14:textId="63E8262C" w:rsidR="00797F42" w:rsidRPr="00797F42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Kantor Marketing, Kantor </w:t>
            </w:r>
            <w:proofErr w:type="spellStart"/>
            <w:r>
              <w:rPr>
                <w:rFonts w:ascii="Arial Narrow" w:hAnsi="Arial Narrow"/>
                <w:sz w:val="22"/>
              </w:rPr>
              <w:t>Ekspedisi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Gudang (Warehouse)</w:t>
            </w:r>
          </w:p>
          <w:p w14:paraId="5018A92B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D1EC849" w14:textId="77777777" w:rsidR="00484BE3" w:rsidRPr="002765B0" w:rsidRDefault="00484BE3" w:rsidP="00523B17">
            <w:pPr>
              <w:rPr>
                <w:rFonts w:ascii="Arial Narrow" w:hAnsi="Arial Narrow"/>
                <w:sz w:val="22"/>
                <w:lang w:val="de-DE"/>
              </w:rPr>
            </w:pPr>
            <w:r w:rsidRPr="002765B0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484BE3" w14:paraId="33B07E6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C0C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84BE3" w14:paraId="735052A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6BE1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84BE3" w14:paraId="3165FC4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531A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A3F5DF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1C355E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C382A52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BC5719" w14:textId="77777777" w:rsidR="00484BE3" w:rsidRPr="002C2251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84BE3" w14:paraId="3DC4209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AF68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E1F4F6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23650D9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C88FA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B555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454DA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9C20812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3BC57AE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2B7C9072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4BE1DE8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8E4BD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02291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3AD5A3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2BA9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BF2D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7F00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50D5F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2CF045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A5FDC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0C37C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84BE3" w14:paraId="633A6318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821FD4B" w14:textId="77777777" w:rsidR="00484BE3" w:rsidRPr="004E0228" w:rsidRDefault="00484BE3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AFEFCF0" w14:textId="77777777" w:rsidR="00484BE3" w:rsidRDefault="00484BE3" w:rsidP="00523B17">
            <w:pPr>
              <w:snapToGrid w:val="0"/>
            </w:pPr>
          </w:p>
        </w:tc>
      </w:tr>
    </w:tbl>
    <w:p w14:paraId="04A6572C" w14:textId="77777777" w:rsidR="00484BE3" w:rsidRDefault="00484BE3" w:rsidP="00011481"/>
    <w:sectPr w:rsidR="00484BE3" w:rsidSect="00975512">
      <w:headerReference w:type="default" r:id="rId14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4ECF" w14:textId="77777777" w:rsidR="004A5057" w:rsidRDefault="004A5057">
      <w:r>
        <w:separator/>
      </w:r>
    </w:p>
  </w:endnote>
  <w:endnote w:type="continuationSeparator" w:id="0">
    <w:p w14:paraId="626B9356" w14:textId="77777777" w:rsidR="004A5057" w:rsidRDefault="004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86ED" w14:textId="77777777" w:rsidR="004A5057" w:rsidRDefault="004A5057">
      <w:r>
        <w:separator/>
      </w:r>
    </w:p>
  </w:footnote>
  <w:footnote w:type="continuationSeparator" w:id="0">
    <w:p w14:paraId="4ECE38DB" w14:textId="77777777" w:rsidR="004A5057" w:rsidRDefault="004A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4DDE"/>
    <w:rsid w:val="001D7BEE"/>
    <w:rsid w:val="001E2978"/>
    <w:rsid w:val="001E3D1E"/>
    <w:rsid w:val="001E5769"/>
    <w:rsid w:val="00221FAE"/>
    <w:rsid w:val="00223BC6"/>
    <w:rsid w:val="00236212"/>
    <w:rsid w:val="00261DD6"/>
    <w:rsid w:val="00272741"/>
    <w:rsid w:val="00275144"/>
    <w:rsid w:val="002765B0"/>
    <w:rsid w:val="00287F9B"/>
    <w:rsid w:val="00291EEF"/>
    <w:rsid w:val="002C2251"/>
    <w:rsid w:val="002E4AFA"/>
    <w:rsid w:val="002F66F2"/>
    <w:rsid w:val="00302EBD"/>
    <w:rsid w:val="003074B8"/>
    <w:rsid w:val="00334099"/>
    <w:rsid w:val="00344C60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2403A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A5057"/>
    <w:rsid w:val="004B3287"/>
    <w:rsid w:val="004C4761"/>
    <w:rsid w:val="004C5AC1"/>
    <w:rsid w:val="004E0228"/>
    <w:rsid w:val="004F670B"/>
    <w:rsid w:val="00503A63"/>
    <w:rsid w:val="005053CE"/>
    <w:rsid w:val="00506335"/>
    <w:rsid w:val="00510CE6"/>
    <w:rsid w:val="00517EE1"/>
    <w:rsid w:val="00526A23"/>
    <w:rsid w:val="00551DDA"/>
    <w:rsid w:val="00555151"/>
    <w:rsid w:val="005570EC"/>
    <w:rsid w:val="0056332E"/>
    <w:rsid w:val="005640BC"/>
    <w:rsid w:val="0057120F"/>
    <w:rsid w:val="00573580"/>
    <w:rsid w:val="00586D7A"/>
    <w:rsid w:val="005A5C8A"/>
    <w:rsid w:val="005B5DED"/>
    <w:rsid w:val="005B5FE6"/>
    <w:rsid w:val="005B7449"/>
    <w:rsid w:val="005D3F72"/>
    <w:rsid w:val="005D42E4"/>
    <w:rsid w:val="005E3FF4"/>
    <w:rsid w:val="005E725F"/>
    <w:rsid w:val="0063071C"/>
    <w:rsid w:val="00635C46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717B"/>
    <w:rsid w:val="00737E78"/>
    <w:rsid w:val="0075754D"/>
    <w:rsid w:val="00763B02"/>
    <w:rsid w:val="00780C72"/>
    <w:rsid w:val="00782A06"/>
    <w:rsid w:val="00783292"/>
    <w:rsid w:val="00784E3F"/>
    <w:rsid w:val="00797F42"/>
    <w:rsid w:val="007F184F"/>
    <w:rsid w:val="007F555C"/>
    <w:rsid w:val="008011CD"/>
    <w:rsid w:val="00811D34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61F7B"/>
    <w:rsid w:val="00A758C0"/>
    <w:rsid w:val="00A87F49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844B0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B20E-4F38-4318-B8F7-A6FDDDD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10</cp:revision>
  <cp:lastPrinted>2020-07-17T05:55:00Z</cp:lastPrinted>
  <dcterms:created xsi:type="dcterms:W3CDTF">2024-05-27T00:57:00Z</dcterms:created>
  <dcterms:modified xsi:type="dcterms:W3CDTF">2025-04-17T04:33:00Z</dcterms:modified>
</cp:coreProperties>
</file>