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E68" w:rsidRPr="00997DD7" w:rsidRDefault="00014E68" w:rsidP="00014E68">
      <w:pPr>
        <w:jc w:val="center"/>
        <w:rPr>
          <w:b/>
          <w:sz w:val="24"/>
          <w:szCs w:val="24"/>
        </w:rPr>
      </w:pPr>
      <w:r w:rsidRPr="00997DD7">
        <w:rPr>
          <w:b/>
          <w:sz w:val="24"/>
          <w:szCs w:val="24"/>
        </w:rPr>
        <w:t xml:space="preserve">Executive Summary Audit </w:t>
      </w:r>
      <w:r w:rsidR="00997DD7" w:rsidRPr="00997DD7">
        <w:rPr>
          <w:b/>
          <w:sz w:val="24"/>
          <w:szCs w:val="24"/>
        </w:rPr>
        <w:t>Sistem Manajemen</w:t>
      </w:r>
      <w:r w:rsidRPr="00997DD7">
        <w:rPr>
          <w:b/>
          <w:sz w:val="24"/>
          <w:szCs w:val="24"/>
        </w:rPr>
        <w:t xml:space="preserve"> Terintegrasi Kuartal I</w:t>
      </w:r>
    </w:p>
    <w:p w:rsidR="008B5D2A" w:rsidRPr="00997DD7" w:rsidRDefault="00014E68" w:rsidP="00014E68">
      <w:pPr>
        <w:jc w:val="center"/>
        <w:rPr>
          <w:sz w:val="24"/>
          <w:szCs w:val="24"/>
        </w:rPr>
      </w:pPr>
      <w:r w:rsidRPr="00997DD7">
        <w:rPr>
          <w:sz w:val="24"/>
          <w:szCs w:val="24"/>
        </w:rPr>
        <w:t>(Periode Audit Januari Sd Maret 2024)</w:t>
      </w:r>
    </w:p>
    <w:p w:rsidR="00014E68" w:rsidRPr="00997DD7" w:rsidRDefault="00014E68">
      <w:pPr>
        <w:rPr>
          <w:sz w:val="24"/>
          <w:szCs w:val="24"/>
        </w:rPr>
      </w:pPr>
    </w:p>
    <w:p w:rsidR="00997DD7" w:rsidRDefault="00014E68">
      <w:pPr>
        <w:rPr>
          <w:sz w:val="24"/>
          <w:szCs w:val="24"/>
        </w:rPr>
      </w:pPr>
      <w:r w:rsidRPr="00997DD7">
        <w:rPr>
          <w:sz w:val="24"/>
          <w:szCs w:val="24"/>
        </w:rPr>
        <w:t xml:space="preserve">Periode Pelaksanaan Audit </w:t>
      </w:r>
      <w:r w:rsidRPr="00997DD7">
        <w:rPr>
          <w:sz w:val="24"/>
          <w:szCs w:val="24"/>
        </w:rPr>
        <w:tab/>
        <w:t xml:space="preserve">: </w:t>
      </w:r>
    </w:p>
    <w:p w:rsidR="00997DD7" w:rsidRDefault="00997DD7" w:rsidP="00997DD7">
      <w:pPr>
        <w:jc w:val="both"/>
        <w:rPr>
          <w:rFonts w:cstheme="minorHAnsi"/>
          <w:sz w:val="24"/>
          <w:szCs w:val="24"/>
        </w:rPr>
      </w:pPr>
      <w:r w:rsidRPr="00997DD7">
        <w:rPr>
          <w:rFonts w:cstheme="minorHAnsi"/>
          <w:sz w:val="24"/>
          <w:szCs w:val="24"/>
        </w:rPr>
        <w:t xml:space="preserve">Pelaksanaan Audit Sistem Manajemen Terintegrasi Kuartal I Tahun 2024 </w:t>
      </w:r>
      <w:r>
        <w:rPr>
          <w:rFonts w:cstheme="minorHAnsi"/>
          <w:sz w:val="24"/>
          <w:szCs w:val="24"/>
        </w:rPr>
        <w:t xml:space="preserve">telah </w:t>
      </w:r>
      <w:r w:rsidRPr="00997DD7">
        <w:rPr>
          <w:rFonts w:cstheme="minorHAnsi"/>
          <w:sz w:val="24"/>
          <w:szCs w:val="24"/>
        </w:rPr>
        <w:t xml:space="preserve">dilaksanakan </w:t>
      </w:r>
      <w:r>
        <w:rPr>
          <w:rFonts w:cstheme="minorHAnsi"/>
          <w:sz w:val="24"/>
          <w:szCs w:val="24"/>
        </w:rPr>
        <w:t>pada</w:t>
      </w:r>
      <w:r w:rsidRPr="00997DD7">
        <w:rPr>
          <w:rFonts w:cstheme="minorHAnsi"/>
          <w:sz w:val="24"/>
          <w:szCs w:val="24"/>
        </w:rPr>
        <w:t xml:space="preserve"> tanggal 21 Mei 2024 sd 5 Juni 2024</w:t>
      </w:r>
      <w:r>
        <w:rPr>
          <w:rFonts w:cstheme="minorHAnsi"/>
          <w:sz w:val="24"/>
          <w:szCs w:val="24"/>
        </w:rPr>
        <w:t>.</w:t>
      </w:r>
    </w:p>
    <w:p w:rsidR="00014E68" w:rsidRPr="00997DD7" w:rsidRDefault="00014E68">
      <w:pPr>
        <w:rPr>
          <w:sz w:val="24"/>
          <w:szCs w:val="24"/>
        </w:rPr>
      </w:pPr>
      <w:r w:rsidRPr="00997DD7">
        <w:rPr>
          <w:sz w:val="24"/>
          <w:szCs w:val="24"/>
        </w:rPr>
        <w:t>Tujuan Audit</w:t>
      </w:r>
      <w:r w:rsidRPr="00997DD7">
        <w:rPr>
          <w:sz w:val="24"/>
          <w:szCs w:val="24"/>
        </w:rPr>
        <w:tab/>
      </w:r>
      <w:r w:rsidRPr="00997DD7">
        <w:rPr>
          <w:sz w:val="24"/>
          <w:szCs w:val="24"/>
        </w:rPr>
        <w:tab/>
      </w:r>
      <w:r w:rsidRPr="00997DD7">
        <w:rPr>
          <w:sz w:val="24"/>
          <w:szCs w:val="24"/>
        </w:rPr>
        <w:tab/>
        <w:t>:</w:t>
      </w:r>
      <w:r w:rsidR="00997DD7" w:rsidRPr="00997DD7">
        <w:rPr>
          <w:sz w:val="24"/>
          <w:szCs w:val="24"/>
        </w:rPr>
        <w:t xml:space="preserve"> </w:t>
      </w:r>
    </w:p>
    <w:p w:rsidR="00997DD7" w:rsidRDefault="00997DD7" w:rsidP="00997DD7">
      <w:pPr>
        <w:pStyle w:val="ListParagraph"/>
        <w:numPr>
          <w:ilvl w:val="0"/>
          <w:numId w:val="2"/>
        </w:numPr>
        <w:tabs>
          <w:tab w:val="left" w:pos="900"/>
        </w:tabs>
        <w:spacing w:line="276" w:lineRule="auto"/>
        <w:rPr>
          <w:rFonts w:cstheme="minorHAnsi"/>
          <w:sz w:val="24"/>
          <w:szCs w:val="24"/>
        </w:rPr>
      </w:pPr>
      <w:r w:rsidRPr="00997DD7">
        <w:rPr>
          <w:rFonts w:cstheme="minorHAnsi"/>
          <w:sz w:val="24"/>
          <w:szCs w:val="24"/>
        </w:rPr>
        <w:t xml:space="preserve">Untuk menentukan apakah Analisa dan Monitoring terhadap tindakan untuk menangani resiko sudah dilaksanakan secara baik dan </w:t>
      </w:r>
      <w:r>
        <w:rPr>
          <w:rFonts w:cstheme="minorHAnsi"/>
          <w:sz w:val="24"/>
          <w:szCs w:val="24"/>
        </w:rPr>
        <w:t>konsisten (berfokus pada risiko mutu, K3 dan Lingkungan)</w:t>
      </w:r>
    </w:p>
    <w:p w:rsidR="00997DD7" w:rsidRPr="00997DD7" w:rsidRDefault="00997DD7" w:rsidP="00997DD7">
      <w:pPr>
        <w:pStyle w:val="ListParagraph"/>
        <w:numPr>
          <w:ilvl w:val="0"/>
          <w:numId w:val="2"/>
        </w:numPr>
        <w:tabs>
          <w:tab w:val="left" w:pos="900"/>
        </w:tabs>
        <w:spacing w:line="276" w:lineRule="auto"/>
        <w:rPr>
          <w:rFonts w:cstheme="minorHAnsi"/>
          <w:sz w:val="24"/>
          <w:szCs w:val="24"/>
        </w:rPr>
      </w:pPr>
      <w:r w:rsidRPr="00997DD7">
        <w:rPr>
          <w:rFonts w:cstheme="minorHAnsi"/>
          <w:sz w:val="24"/>
          <w:szCs w:val="24"/>
        </w:rPr>
        <w:t>Untuk menentukan apakah Sistem Manajemen ISO 9001:2015, 45001:2018, 14001:2015 dan CPAKB dilaksanakan dan dipelihara secara efektif</w:t>
      </w:r>
      <w:r>
        <w:rPr>
          <w:rFonts w:cstheme="minorHAnsi"/>
          <w:sz w:val="24"/>
          <w:szCs w:val="24"/>
        </w:rPr>
        <w:t xml:space="preserve"> (berfokus pada Monitoring dan Evaluasi BSC masing-masing departemen)</w:t>
      </w:r>
    </w:p>
    <w:p w:rsidR="00997DD7" w:rsidRDefault="00997DD7">
      <w:pPr>
        <w:rPr>
          <w:sz w:val="24"/>
          <w:szCs w:val="24"/>
        </w:rPr>
      </w:pPr>
    </w:p>
    <w:p w:rsidR="007F00D6" w:rsidRDefault="00014E68">
      <w:pPr>
        <w:rPr>
          <w:sz w:val="24"/>
          <w:szCs w:val="24"/>
        </w:rPr>
      </w:pPr>
      <w:r w:rsidRPr="00997DD7">
        <w:rPr>
          <w:sz w:val="24"/>
          <w:szCs w:val="24"/>
        </w:rPr>
        <w:t>Objek Audit</w:t>
      </w:r>
      <w:r w:rsidRPr="00997DD7">
        <w:rPr>
          <w:sz w:val="24"/>
          <w:szCs w:val="24"/>
        </w:rPr>
        <w:tab/>
      </w:r>
      <w:r w:rsidRPr="00997DD7">
        <w:rPr>
          <w:sz w:val="24"/>
          <w:szCs w:val="24"/>
        </w:rPr>
        <w:tab/>
      </w:r>
      <w:r w:rsidRPr="00997DD7">
        <w:rPr>
          <w:sz w:val="24"/>
          <w:szCs w:val="24"/>
        </w:rPr>
        <w:tab/>
        <w:t>:</w:t>
      </w:r>
      <w:r w:rsidR="00997DD7" w:rsidRPr="00997DD7">
        <w:rPr>
          <w:sz w:val="24"/>
          <w:szCs w:val="24"/>
        </w:rPr>
        <w:t xml:space="preserve"> Seluruh Departemen di PT Chitose Internasional Tbk</w:t>
      </w:r>
    </w:p>
    <w:p w:rsidR="00BC3DBF" w:rsidRDefault="00D86FB3">
      <w:pPr>
        <w:rPr>
          <w:sz w:val="24"/>
          <w:szCs w:val="24"/>
        </w:rPr>
      </w:pPr>
      <w:r>
        <w:rPr>
          <w:sz w:val="24"/>
          <w:szCs w:val="24"/>
        </w:rPr>
        <w:t xml:space="preserve">Prosedur </w:t>
      </w:r>
      <w:r w:rsidR="007F00D6">
        <w:rPr>
          <w:sz w:val="24"/>
          <w:szCs w:val="24"/>
        </w:rPr>
        <w:t>Audit</w:t>
      </w:r>
      <w:r w:rsidR="007F00D6">
        <w:rPr>
          <w:sz w:val="24"/>
          <w:szCs w:val="24"/>
        </w:rPr>
        <w:tab/>
      </w:r>
      <w:r w:rsidR="007F00D6">
        <w:rPr>
          <w:sz w:val="24"/>
          <w:szCs w:val="24"/>
        </w:rPr>
        <w:tab/>
        <w:t xml:space="preserve">: </w:t>
      </w:r>
      <w:r>
        <w:rPr>
          <w:sz w:val="24"/>
          <w:szCs w:val="24"/>
        </w:rPr>
        <w:t>Wawancara dan Inspeksi dan Konfirmasi kepada Auditee</w:t>
      </w:r>
      <w:r w:rsidR="00014E68" w:rsidRPr="00997DD7">
        <w:rPr>
          <w:sz w:val="24"/>
          <w:szCs w:val="24"/>
        </w:rPr>
        <w:br/>
      </w:r>
    </w:p>
    <w:p w:rsidR="00014E68" w:rsidRDefault="00D86FB3">
      <w:pPr>
        <w:rPr>
          <w:sz w:val="24"/>
          <w:szCs w:val="24"/>
        </w:rPr>
      </w:pPr>
      <w:bookmarkStart w:id="0" w:name="_GoBack"/>
      <w:bookmarkEnd w:id="0"/>
      <w:r>
        <w:rPr>
          <w:sz w:val="24"/>
          <w:szCs w:val="24"/>
        </w:rPr>
        <w:t>Rekap</w:t>
      </w:r>
      <w:r w:rsidR="00014E68" w:rsidRPr="00997DD7">
        <w:rPr>
          <w:sz w:val="24"/>
          <w:szCs w:val="24"/>
        </w:rPr>
        <w:t xml:space="preserve"> temuan Audit</w:t>
      </w:r>
      <w:r w:rsidR="00014E68" w:rsidRPr="00997DD7">
        <w:rPr>
          <w:sz w:val="24"/>
          <w:szCs w:val="24"/>
        </w:rPr>
        <w:tab/>
      </w:r>
      <w:r w:rsidR="00014E68" w:rsidRPr="00997DD7">
        <w:rPr>
          <w:sz w:val="24"/>
          <w:szCs w:val="24"/>
        </w:rPr>
        <w:tab/>
        <w:t>:</w:t>
      </w:r>
    </w:p>
    <w:tbl>
      <w:tblPr>
        <w:tblW w:w="10065" w:type="dxa"/>
        <w:tblLook w:val="04A0" w:firstRow="1" w:lastRow="0" w:firstColumn="1" w:lastColumn="0" w:noHBand="0" w:noVBand="1"/>
      </w:tblPr>
      <w:tblGrid>
        <w:gridCol w:w="1980"/>
        <w:gridCol w:w="7376"/>
        <w:gridCol w:w="709"/>
      </w:tblGrid>
      <w:tr w:rsidR="00BC3DBF" w:rsidRPr="00BC3DBF" w:rsidTr="00BC3DBF">
        <w:trPr>
          <w:trHeight w:val="288"/>
        </w:trPr>
        <w:tc>
          <w:tcPr>
            <w:tcW w:w="1980" w:type="dxa"/>
            <w:tcBorders>
              <w:top w:val="nil"/>
              <w:left w:val="nil"/>
              <w:bottom w:val="single" w:sz="4" w:space="0" w:color="9BC2E6"/>
              <w:right w:val="nil"/>
            </w:tcBorders>
            <w:shd w:val="clear" w:color="DDEBF7" w:fill="DDEBF7"/>
            <w:noWrap/>
            <w:vAlign w:val="bottom"/>
            <w:hideMark/>
          </w:tcPr>
          <w:p w:rsidR="00BC3DBF" w:rsidRPr="00BC3DBF" w:rsidRDefault="00BC3DBF" w:rsidP="00BC3DBF">
            <w:pPr>
              <w:spacing w:after="0" w:line="240" w:lineRule="auto"/>
              <w:rPr>
                <w:rFonts w:ascii="Calibri" w:eastAsia="Times New Roman" w:hAnsi="Calibri" w:cs="Calibri"/>
                <w:b/>
                <w:bCs/>
                <w:color w:val="000000"/>
              </w:rPr>
            </w:pPr>
            <w:r w:rsidRPr="00BC3DBF">
              <w:rPr>
                <w:rFonts w:ascii="Calibri" w:eastAsia="Times New Roman" w:hAnsi="Calibri" w:cs="Calibri"/>
                <w:b/>
                <w:bCs/>
                <w:color w:val="000000"/>
              </w:rPr>
              <w:t>Kategori Temuan</w:t>
            </w:r>
          </w:p>
        </w:tc>
        <w:tc>
          <w:tcPr>
            <w:tcW w:w="7376" w:type="dxa"/>
            <w:tcBorders>
              <w:top w:val="nil"/>
              <w:left w:val="nil"/>
              <w:bottom w:val="single" w:sz="4" w:space="0" w:color="9BC2E6"/>
              <w:right w:val="nil"/>
            </w:tcBorders>
            <w:shd w:val="clear" w:color="DDEBF7" w:fill="DDEBF7"/>
            <w:noWrap/>
            <w:vAlign w:val="bottom"/>
            <w:hideMark/>
          </w:tcPr>
          <w:p w:rsidR="00BC3DBF" w:rsidRPr="00BC3DBF" w:rsidRDefault="00BC3DBF" w:rsidP="00BC3DBF">
            <w:pPr>
              <w:spacing w:after="0" w:line="240" w:lineRule="auto"/>
              <w:rPr>
                <w:rFonts w:ascii="Calibri" w:eastAsia="Times New Roman" w:hAnsi="Calibri" w:cs="Calibri"/>
                <w:b/>
                <w:bCs/>
                <w:color w:val="000000"/>
              </w:rPr>
            </w:pPr>
            <w:r w:rsidRPr="00BC3DBF">
              <w:rPr>
                <w:rFonts w:ascii="Calibri" w:eastAsia="Times New Roman" w:hAnsi="Calibri" w:cs="Calibri"/>
                <w:b/>
                <w:bCs/>
                <w:color w:val="000000"/>
              </w:rPr>
              <w:t>Elemen</w:t>
            </w:r>
          </w:p>
        </w:tc>
        <w:tc>
          <w:tcPr>
            <w:tcW w:w="709" w:type="dxa"/>
            <w:tcBorders>
              <w:top w:val="nil"/>
              <w:left w:val="nil"/>
              <w:bottom w:val="single" w:sz="4" w:space="0" w:color="9BC2E6"/>
              <w:right w:val="nil"/>
            </w:tcBorders>
            <w:shd w:val="clear" w:color="DDEBF7" w:fill="DDEBF7"/>
            <w:noWrap/>
            <w:vAlign w:val="bottom"/>
            <w:hideMark/>
          </w:tcPr>
          <w:p w:rsidR="00BC3DBF" w:rsidRPr="00BC3DBF" w:rsidRDefault="00BC3DBF" w:rsidP="00BC3DBF">
            <w:pPr>
              <w:spacing w:after="0" w:line="240" w:lineRule="auto"/>
              <w:rPr>
                <w:rFonts w:ascii="Calibri" w:eastAsia="Times New Roman" w:hAnsi="Calibri" w:cs="Calibri"/>
                <w:b/>
                <w:bCs/>
                <w:color w:val="000000"/>
              </w:rPr>
            </w:pPr>
            <w:r w:rsidRPr="00BC3DBF">
              <w:rPr>
                <w:rFonts w:ascii="Calibri" w:eastAsia="Times New Roman" w:hAnsi="Calibri" w:cs="Calibri"/>
                <w:b/>
                <w:bCs/>
                <w:color w:val="000000"/>
              </w:rPr>
              <w:t>Total</w:t>
            </w:r>
          </w:p>
        </w:tc>
      </w:tr>
      <w:tr w:rsidR="00BC3DBF" w:rsidRPr="00BC3DBF" w:rsidTr="00BC3DBF">
        <w:trPr>
          <w:trHeight w:val="288"/>
        </w:trPr>
        <w:tc>
          <w:tcPr>
            <w:tcW w:w="1980"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Minor</w:t>
            </w:r>
          </w:p>
        </w:tc>
        <w:tc>
          <w:tcPr>
            <w:tcW w:w="7376"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ISO 9001:2015 Klausul 8.1. Perencanaan dan Pengendalian Operasional</w:t>
            </w:r>
          </w:p>
        </w:tc>
        <w:tc>
          <w:tcPr>
            <w:tcW w:w="709"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2</w:t>
            </w:r>
          </w:p>
        </w:tc>
      </w:tr>
      <w:tr w:rsidR="00BC3DBF" w:rsidRPr="00BC3DBF" w:rsidTr="00BC3DBF">
        <w:trPr>
          <w:trHeight w:val="288"/>
        </w:trPr>
        <w:tc>
          <w:tcPr>
            <w:tcW w:w="1980"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Minor</w:t>
            </w:r>
          </w:p>
        </w:tc>
        <w:tc>
          <w:tcPr>
            <w:tcW w:w="7376"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ISO 9001:2015 Klausul 8.3 Desain dan pengembangan produk dan jasa</w:t>
            </w:r>
          </w:p>
        </w:tc>
        <w:tc>
          <w:tcPr>
            <w:tcW w:w="709"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1980"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Minor</w:t>
            </w:r>
          </w:p>
        </w:tc>
        <w:tc>
          <w:tcPr>
            <w:tcW w:w="7376"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ISO 9001:2015 Klausul 8.4. Pengendalian Pengadaan Proses, Produk dan Jasa Pihak Eksternal</w:t>
            </w:r>
          </w:p>
        </w:tc>
        <w:tc>
          <w:tcPr>
            <w:tcW w:w="709"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2</w:t>
            </w:r>
          </w:p>
        </w:tc>
      </w:tr>
      <w:tr w:rsidR="00BC3DBF" w:rsidRPr="00BC3DBF" w:rsidTr="00BC3DBF">
        <w:trPr>
          <w:trHeight w:val="288"/>
        </w:trPr>
        <w:tc>
          <w:tcPr>
            <w:tcW w:w="1980" w:type="dxa"/>
            <w:tcBorders>
              <w:top w:val="nil"/>
              <w:left w:val="nil"/>
              <w:bottom w:val="single" w:sz="4" w:space="0" w:color="9BC2E6"/>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Minor</w:t>
            </w:r>
          </w:p>
        </w:tc>
        <w:tc>
          <w:tcPr>
            <w:tcW w:w="7376"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PermenKes No.20 Tahun 2017 Lampiran I Butir III.E.2</w:t>
            </w:r>
          </w:p>
        </w:tc>
        <w:tc>
          <w:tcPr>
            <w:tcW w:w="709"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1980" w:type="dxa"/>
            <w:tcBorders>
              <w:top w:val="single" w:sz="4" w:space="0" w:color="5B9BD5"/>
              <w:left w:val="nil"/>
              <w:bottom w:val="single" w:sz="4" w:space="0" w:color="5B9BD5"/>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Minor</w:t>
            </w:r>
            <w:r w:rsidRPr="00BC3DBF">
              <w:rPr>
                <w:rFonts w:ascii="Calibri" w:eastAsia="Times New Roman" w:hAnsi="Calibri" w:cs="Calibri"/>
                <w:b/>
                <w:bCs/>
                <w:color w:val="000000"/>
              </w:rPr>
              <w:t xml:space="preserve"> Total</w:t>
            </w:r>
          </w:p>
        </w:tc>
        <w:tc>
          <w:tcPr>
            <w:tcW w:w="7376" w:type="dxa"/>
            <w:tcBorders>
              <w:top w:val="single" w:sz="4" w:space="0" w:color="5B9BD5"/>
              <w:left w:val="nil"/>
              <w:bottom w:val="single" w:sz="4" w:space="0" w:color="5B9BD5"/>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p>
        </w:tc>
        <w:tc>
          <w:tcPr>
            <w:tcW w:w="709" w:type="dxa"/>
            <w:tcBorders>
              <w:top w:val="single" w:sz="4" w:space="0" w:color="5B9BD5"/>
              <w:left w:val="nil"/>
              <w:bottom w:val="single" w:sz="4" w:space="0" w:color="5B9BD5"/>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b/>
                <w:bCs/>
                <w:color w:val="000000"/>
              </w:rPr>
            </w:pPr>
            <w:r w:rsidRPr="00BC3DBF">
              <w:rPr>
                <w:rFonts w:ascii="Calibri" w:eastAsia="Times New Roman" w:hAnsi="Calibri" w:cs="Calibri"/>
                <w:b/>
                <w:bCs/>
                <w:color w:val="000000"/>
              </w:rPr>
              <w:t>6</w:t>
            </w:r>
          </w:p>
        </w:tc>
      </w:tr>
      <w:tr w:rsidR="00BC3DBF" w:rsidRPr="00BC3DBF" w:rsidTr="00BC3DBF">
        <w:trPr>
          <w:trHeight w:val="288"/>
        </w:trPr>
        <w:tc>
          <w:tcPr>
            <w:tcW w:w="1980"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Observasi</w:t>
            </w:r>
          </w:p>
        </w:tc>
        <w:tc>
          <w:tcPr>
            <w:tcW w:w="7376"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ISO 45001:2018 Klausul 9.1 Pemantauan, Analisis dan Evaluasi</w:t>
            </w:r>
          </w:p>
        </w:tc>
        <w:tc>
          <w:tcPr>
            <w:tcW w:w="709"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1980"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Observasi</w:t>
            </w:r>
          </w:p>
        </w:tc>
        <w:tc>
          <w:tcPr>
            <w:tcW w:w="7376"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ISO 9001 Klausul 7.1.5.2. Pengukuran yang Mampu Telusur</w:t>
            </w:r>
          </w:p>
        </w:tc>
        <w:tc>
          <w:tcPr>
            <w:tcW w:w="709"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1980"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Observasi</w:t>
            </w:r>
          </w:p>
        </w:tc>
        <w:tc>
          <w:tcPr>
            <w:tcW w:w="7376"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 xml:space="preserve">ISO 9001:2015 Klausul 4.4 Sistem Manajemen Mutu dan Proses </w:t>
            </w:r>
          </w:p>
        </w:tc>
        <w:tc>
          <w:tcPr>
            <w:tcW w:w="709"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2</w:t>
            </w:r>
          </w:p>
        </w:tc>
      </w:tr>
      <w:tr w:rsidR="00BC3DBF" w:rsidRPr="00BC3DBF" w:rsidTr="00BC3DBF">
        <w:trPr>
          <w:trHeight w:val="288"/>
        </w:trPr>
        <w:tc>
          <w:tcPr>
            <w:tcW w:w="1980"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Observasi</w:t>
            </w:r>
          </w:p>
        </w:tc>
        <w:tc>
          <w:tcPr>
            <w:tcW w:w="7376"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ISO 9001:2015 Klausul 7.1.5.2. Pengukuran yang Mampu Telusur</w:t>
            </w:r>
          </w:p>
        </w:tc>
        <w:tc>
          <w:tcPr>
            <w:tcW w:w="709"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2</w:t>
            </w:r>
          </w:p>
        </w:tc>
      </w:tr>
      <w:tr w:rsidR="00BC3DBF" w:rsidRPr="00BC3DBF" w:rsidTr="00BC3DBF">
        <w:trPr>
          <w:trHeight w:val="288"/>
        </w:trPr>
        <w:tc>
          <w:tcPr>
            <w:tcW w:w="1980"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Observasi</w:t>
            </w:r>
          </w:p>
        </w:tc>
        <w:tc>
          <w:tcPr>
            <w:tcW w:w="7376"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ISO 9001:2015 Klausul 7.5 Informasi Terdokumentasi</w:t>
            </w:r>
          </w:p>
        </w:tc>
        <w:tc>
          <w:tcPr>
            <w:tcW w:w="709"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1980"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Observasi</w:t>
            </w:r>
          </w:p>
        </w:tc>
        <w:tc>
          <w:tcPr>
            <w:tcW w:w="7376"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ISO 9001:2015 Klausul 8.4. Pengendalian Pengadaan Proses, Produk dan Jasa Pihak Eksternal</w:t>
            </w:r>
          </w:p>
        </w:tc>
        <w:tc>
          <w:tcPr>
            <w:tcW w:w="709"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1980" w:type="dxa"/>
            <w:tcBorders>
              <w:top w:val="nil"/>
              <w:left w:val="nil"/>
              <w:bottom w:val="single" w:sz="4" w:space="0" w:color="9BC2E6"/>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Observasi</w:t>
            </w:r>
          </w:p>
        </w:tc>
        <w:tc>
          <w:tcPr>
            <w:tcW w:w="7376"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ISO 9001:2015 Klausul 9.1. Pemantauan, Pengukuran, Analisis dan Evaluasi</w:t>
            </w:r>
          </w:p>
        </w:tc>
        <w:tc>
          <w:tcPr>
            <w:tcW w:w="709" w:type="dxa"/>
            <w:tcBorders>
              <w:top w:val="nil"/>
              <w:left w:val="nil"/>
              <w:bottom w:val="nil"/>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1980" w:type="dxa"/>
            <w:tcBorders>
              <w:top w:val="single" w:sz="4" w:space="0" w:color="5B9BD5"/>
              <w:left w:val="nil"/>
              <w:bottom w:val="single" w:sz="4" w:space="0" w:color="5B9BD5"/>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r>
              <w:rPr>
                <w:rFonts w:ascii="Calibri" w:eastAsia="Times New Roman" w:hAnsi="Calibri" w:cs="Calibri"/>
                <w:b/>
                <w:bCs/>
                <w:color w:val="000000"/>
              </w:rPr>
              <w:t>Observasi</w:t>
            </w:r>
            <w:r w:rsidRPr="00BC3DBF">
              <w:rPr>
                <w:rFonts w:ascii="Calibri" w:eastAsia="Times New Roman" w:hAnsi="Calibri" w:cs="Calibri"/>
                <w:b/>
                <w:bCs/>
                <w:color w:val="000000"/>
              </w:rPr>
              <w:t xml:space="preserve"> Total</w:t>
            </w:r>
          </w:p>
        </w:tc>
        <w:tc>
          <w:tcPr>
            <w:tcW w:w="7376" w:type="dxa"/>
            <w:tcBorders>
              <w:top w:val="single" w:sz="4" w:space="0" w:color="5B9BD5"/>
              <w:left w:val="nil"/>
              <w:bottom w:val="single" w:sz="4" w:space="0" w:color="5B9BD5"/>
              <w:right w:val="nil"/>
            </w:tcBorders>
            <w:shd w:val="clear" w:color="auto" w:fill="auto"/>
            <w:noWrap/>
            <w:vAlign w:val="bottom"/>
            <w:hideMark/>
          </w:tcPr>
          <w:p w:rsidR="00BC3DBF" w:rsidRPr="00BC3DBF" w:rsidRDefault="00BC3DBF" w:rsidP="00BC3DBF">
            <w:pPr>
              <w:spacing w:after="0" w:line="240" w:lineRule="auto"/>
              <w:rPr>
                <w:rFonts w:ascii="Calibri" w:eastAsia="Times New Roman" w:hAnsi="Calibri" w:cs="Calibri"/>
                <w:b/>
                <w:bCs/>
                <w:color w:val="000000"/>
              </w:rPr>
            </w:pPr>
          </w:p>
        </w:tc>
        <w:tc>
          <w:tcPr>
            <w:tcW w:w="709" w:type="dxa"/>
            <w:tcBorders>
              <w:top w:val="single" w:sz="4" w:space="0" w:color="5B9BD5"/>
              <w:left w:val="nil"/>
              <w:bottom w:val="single" w:sz="4" w:space="0" w:color="5B9BD5"/>
              <w:right w:val="nil"/>
            </w:tcBorders>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b/>
                <w:bCs/>
                <w:color w:val="000000"/>
              </w:rPr>
            </w:pPr>
            <w:r w:rsidRPr="00BC3DBF">
              <w:rPr>
                <w:rFonts w:ascii="Calibri" w:eastAsia="Times New Roman" w:hAnsi="Calibri" w:cs="Calibri"/>
                <w:b/>
                <w:bCs/>
                <w:color w:val="000000"/>
              </w:rPr>
              <w:t>9</w:t>
            </w:r>
          </w:p>
        </w:tc>
      </w:tr>
      <w:tr w:rsidR="00BC3DBF" w:rsidRPr="00BC3DBF" w:rsidTr="00BC3DBF">
        <w:trPr>
          <w:trHeight w:val="288"/>
        </w:trPr>
        <w:tc>
          <w:tcPr>
            <w:tcW w:w="1980" w:type="dxa"/>
            <w:tcBorders>
              <w:top w:val="single" w:sz="4" w:space="0" w:color="9BC2E6"/>
              <w:left w:val="nil"/>
              <w:bottom w:val="nil"/>
              <w:right w:val="nil"/>
            </w:tcBorders>
            <w:shd w:val="clear" w:color="DDEBF7" w:fill="DDEBF7"/>
            <w:noWrap/>
            <w:vAlign w:val="bottom"/>
            <w:hideMark/>
          </w:tcPr>
          <w:p w:rsidR="00BC3DBF" w:rsidRPr="00BC3DBF" w:rsidRDefault="00BC3DBF" w:rsidP="00BC3DBF">
            <w:pPr>
              <w:spacing w:after="0" w:line="240" w:lineRule="auto"/>
              <w:rPr>
                <w:rFonts w:ascii="Calibri" w:eastAsia="Times New Roman" w:hAnsi="Calibri" w:cs="Calibri"/>
                <w:b/>
                <w:bCs/>
                <w:color w:val="000000"/>
              </w:rPr>
            </w:pPr>
            <w:r w:rsidRPr="00BC3DBF">
              <w:rPr>
                <w:rFonts w:ascii="Calibri" w:eastAsia="Times New Roman" w:hAnsi="Calibri" w:cs="Calibri"/>
                <w:b/>
                <w:bCs/>
                <w:color w:val="000000"/>
              </w:rPr>
              <w:t>Grand Total</w:t>
            </w:r>
          </w:p>
        </w:tc>
        <w:tc>
          <w:tcPr>
            <w:tcW w:w="7376" w:type="dxa"/>
            <w:tcBorders>
              <w:top w:val="single" w:sz="4" w:space="0" w:color="9BC2E6"/>
              <w:left w:val="nil"/>
              <w:bottom w:val="nil"/>
              <w:right w:val="nil"/>
            </w:tcBorders>
            <w:shd w:val="clear" w:color="DDEBF7" w:fill="DDEBF7"/>
            <w:noWrap/>
            <w:vAlign w:val="bottom"/>
            <w:hideMark/>
          </w:tcPr>
          <w:p w:rsidR="00BC3DBF" w:rsidRPr="00BC3DBF" w:rsidRDefault="00BC3DBF" w:rsidP="00BC3DBF">
            <w:pPr>
              <w:spacing w:after="0" w:line="240" w:lineRule="auto"/>
              <w:rPr>
                <w:rFonts w:ascii="Calibri" w:eastAsia="Times New Roman" w:hAnsi="Calibri" w:cs="Calibri"/>
                <w:b/>
                <w:bCs/>
                <w:color w:val="000000"/>
              </w:rPr>
            </w:pPr>
          </w:p>
        </w:tc>
        <w:tc>
          <w:tcPr>
            <w:tcW w:w="709" w:type="dxa"/>
            <w:tcBorders>
              <w:top w:val="single" w:sz="4" w:space="0" w:color="9BC2E6"/>
              <w:left w:val="nil"/>
              <w:bottom w:val="nil"/>
              <w:right w:val="nil"/>
            </w:tcBorders>
            <w:shd w:val="clear" w:color="DDEBF7" w:fill="DDEBF7"/>
            <w:noWrap/>
            <w:vAlign w:val="bottom"/>
            <w:hideMark/>
          </w:tcPr>
          <w:p w:rsidR="00BC3DBF" w:rsidRPr="00BC3DBF" w:rsidRDefault="00BC3DBF" w:rsidP="00BC3DBF">
            <w:pPr>
              <w:spacing w:after="0" w:line="240" w:lineRule="auto"/>
              <w:jc w:val="right"/>
              <w:rPr>
                <w:rFonts w:ascii="Calibri" w:eastAsia="Times New Roman" w:hAnsi="Calibri" w:cs="Calibri"/>
                <w:b/>
                <w:bCs/>
                <w:color w:val="000000"/>
              </w:rPr>
            </w:pPr>
            <w:r w:rsidRPr="00BC3DBF">
              <w:rPr>
                <w:rFonts w:ascii="Calibri" w:eastAsia="Times New Roman" w:hAnsi="Calibri" w:cs="Calibri"/>
                <w:b/>
                <w:bCs/>
                <w:color w:val="000000"/>
              </w:rPr>
              <w:t>15</w:t>
            </w:r>
          </w:p>
        </w:tc>
      </w:tr>
    </w:tbl>
    <w:p w:rsidR="00C82374" w:rsidRDefault="00F955B6">
      <w:pPr>
        <w:rPr>
          <w:b/>
          <w:sz w:val="24"/>
          <w:szCs w:val="24"/>
        </w:rPr>
      </w:pPr>
      <w:r w:rsidRPr="006C16E4">
        <w:rPr>
          <w:b/>
          <w:sz w:val="24"/>
          <w:szCs w:val="24"/>
        </w:rPr>
        <w:t xml:space="preserve"> </w:t>
      </w:r>
    </w:p>
    <w:p w:rsidR="00BC3DBF" w:rsidRDefault="00BC3DBF">
      <w:pPr>
        <w:rPr>
          <w:b/>
          <w:sz w:val="24"/>
          <w:szCs w:val="24"/>
        </w:rPr>
      </w:pPr>
      <w:r>
        <w:rPr>
          <w:b/>
          <w:sz w:val="24"/>
          <w:szCs w:val="24"/>
        </w:rPr>
        <w:br w:type="page"/>
      </w:r>
    </w:p>
    <w:p w:rsidR="00EC204C" w:rsidRDefault="00EC204C">
      <w:pPr>
        <w:rPr>
          <w:b/>
          <w:sz w:val="24"/>
          <w:szCs w:val="24"/>
        </w:rPr>
      </w:pPr>
      <w:r>
        <w:rPr>
          <w:b/>
          <w:sz w:val="24"/>
          <w:szCs w:val="24"/>
        </w:rPr>
        <w:lastRenderedPageBreak/>
        <w:t>Kategori Temuan sesuai Departemen</w:t>
      </w:r>
    </w:p>
    <w:tbl>
      <w:tblPr>
        <w:tblW w:w="6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00"/>
        <w:gridCol w:w="683"/>
      </w:tblGrid>
      <w:tr w:rsidR="00BC3DBF" w:rsidRPr="00BC3DBF" w:rsidTr="00BC3DBF">
        <w:trPr>
          <w:trHeight w:val="288"/>
        </w:trPr>
        <w:tc>
          <w:tcPr>
            <w:tcW w:w="3681" w:type="dxa"/>
            <w:shd w:val="clear" w:color="DDEBF7" w:fill="DDEBF7"/>
            <w:noWrap/>
            <w:vAlign w:val="bottom"/>
            <w:hideMark/>
          </w:tcPr>
          <w:p w:rsidR="00BC3DBF" w:rsidRPr="00BC3DBF" w:rsidRDefault="00BC3DBF" w:rsidP="00BC3DBF">
            <w:pPr>
              <w:spacing w:after="0" w:line="240" w:lineRule="auto"/>
              <w:rPr>
                <w:rFonts w:ascii="Calibri" w:eastAsia="Times New Roman" w:hAnsi="Calibri" w:cs="Calibri"/>
                <w:b/>
                <w:bCs/>
                <w:color w:val="000000"/>
              </w:rPr>
            </w:pPr>
            <w:r w:rsidRPr="00BC3DBF">
              <w:rPr>
                <w:rFonts w:ascii="Calibri" w:eastAsia="Times New Roman" w:hAnsi="Calibri" w:cs="Calibri"/>
                <w:b/>
                <w:bCs/>
                <w:color w:val="000000"/>
              </w:rPr>
              <w:t>Proses / Dept</w:t>
            </w:r>
          </w:p>
        </w:tc>
        <w:tc>
          <w:tcPr>
            <w:tcW w:w="1900" w:type="dxa"/>
            <w:shd w:val="clear" w:color="DDEBF7" w:fill="DDEBF7"/>
            <w:noWrap/>
            <w:vAlign w:val="bottom"/>
            <w:hideMark/>
          </w:tcPr>
          <w:p w:rsidR="00BC3DBF" w:rsidRPr="00BC3DBF" w:rsidRDefault="00BC3DBF" w:rsidP="00BC3DBF">
            <w:pPr>
              <w:spacing w:after="0" w:line="240" w:lineRule="auto"/>
              <w:rPr>
                <w:rFonts w:ascii="Calibri" w:eastAsia="Times New Roman" w:hAnsi="Calibri" w:cs="Calibri"/>
                <w:b/>
                <w:bCs/>
                <w:color w:val="000000"/>
              </w:rPr>
            </w:pPr>
            <w:r w:rsidRPr="00BC3DBF">
              <w:rPr>
                <w:rFonts w:ascii="Calibri" w:eastAsia="Times New Roman" w:hAnsi="Calibri" w:cs="Calibri"/>
                <w:b/>
                <w:bCs/>
                <w:color w:val="000000"/>
              </w:rPr>
              <w:t>Kategori Temuan</w:t>
            </w:r>
          </w:p>
        </w:tc>
        <w:tc>
          <w:tcPr>
            <w:tcW w:w="683" w:type="dxa"/>
            <w:shd w:val="clear" w:color="DDEBF7" w:fill="DDEBF7"/>
            <w:noWrap/>
            <w:vAlign w:val="bottom"/>
            <w:hideMark/>
          </w:tcPr>
          <w:p w:rsidR="00BC3DBF" w:rsidRPr="00BC3DBF" w:rsidRDefault="00BC3DBF" w:rsidP="00BC3DBF">
            <w:pPr>
              <w:spacing w:after="0" w:line="240" w:lineRule="auto"/>
              <w:rPr>
                <w:rFonts w:ascii="Calibri" w:eastAsia="Times New Roman" w:hAnsi="Calibri" w:cs="Calibri"/>
                <w:b/>
                <w:bCs/>
                <w:color w:val="000000"/>
              </w:rPr>
            </w:pPr>
            <w:r w:rsidRPr="00BC3DBF">
              <w:rPr>
                <w:rFonts w:ascii="Calibri" w:eastAsia="Times New Roman" w:hAnsi="Calibri" w:cs="Calibri"/>
                <w:b/>
                <w:bCs/>
                <w:color w:val="000000"/>
              </w:rPr>
              <w:t>Total</w:t>
            </w:r>
          </w:p>
        </w:tc>
      </w:tr>
      <w:tr w:rsidR="00BC3DBF" w:rsidRPr="00BC3DBF" w:rsidTr="00BC3DBF">
        <w:trPr>
          <w:trHeight w:val="288"/>
        </w:trPr>
        <w:tc>
          <w:tcPr>
            <w:tcW w:w="3681"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bCs/>
                <w:color w:val="000000"/>
              </w:rPr>
            </w:pPr>
            <w:r w:rsidRPr="00BC3DBF">
              <w:rPr>
                <w:rFonts w:ascii="Calibri" w:eastAsia="Times New Roman" w:hAnsi="Calibri" w:cs="Calibri"/>
                <w:bCs/>
                <w:color w:val="000000"/>
              </w:rPr>
              <w:t>IT</w:t>
            </w:r>
          </w:p>
        </w:tc>
        <w:tc>
          <w:tcPr>
            <w:tcW w:w="1900"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Observasi</w:t>
            </w:r>
          </w:p>
        </w:tc>
        <w:tc>
          <w:tcPr>
            <w:tcW w:w="683" w:type="dxa"/>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3681"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bCs/>
                <w:color w:val="000000"/>
              </w:rPr>
            </w:pPr>
            <w:r w:rsidRPr="00BC3DBF">
              <w:rPr>
                <w:rFonts w:ascii="Calibri" w:eastAsia="Times New Roman" w:hAnsi="Calibri" w:cs="Calibri"/>
                <w:bCs/>
                <w:color w:val="000000"/>
              </w:rPr>
              <w:t>PCH</w:t>
            </w:r>
          </w:p>
        </w:tc>
        <w:tc>
          <w:tcPr>
            <w:tcW w:w="1900"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Observasi</w:t>
            </w:r>
          </w:p>
        </w:tc>
        <w:tc>
          <w:tcPr>
            <w:tcW w:w="683" w:type="dxa"/>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3681"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bCs/>
                <w:color w:val="000000"/>
              </w:rPr>
            </w:pPr>
            <w:r w:rsidRPr="00BC3DBF">
              <w:rPr>
                <w:rFonts w:ascii="Calibri" w:eastAsia="Times New Roman" w:hAnsi="Calibri" w:cs="Calibri"/>
                <w:bCs/>
                <w:color w:val="000000"/>
              </w:rPr>
              <w:t>QC</w:t>
            </w:r>
          </w:p>
        </w:tc>
        <w:tc>
          <w:tcPr>
            <w:tcW w:w="1900"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Observasi</w:t>
            </w:r>
          </w:p>
        </w:tc>
        <w:tc>
          <w:tcPr>
            <w:tcW w:w="683" w:type="dxa"/>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2</w:t>
            </w:r>
          </w:p>
        </w:tc>
      </w:tr>
      <w:tr w:rsidR="00BC3DBF" w:rsidRPr="00BC3DBF" w:rsidTr="00BC3DBF">
        <w:trPr>
          <w:trHeight w:val="288"/>
        </w:trPr>
        <w:tc>
          <w:tcPr>
            <w:tcW w:w="3681"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bCs/>
                <w:color w:val="000000"/>
              </w:rPr>
            </w:pPr>
            <w:r w:rsidRPr="00BC3DBF">
              <w:rPr>
                <w:rFonts w:ascii="Calibri" w:eastAsia="Times New Roman" w:hAnsi="Calibri" w:cs="Calibri"/>
                <w:bCs/>
                <w:color w:val="000000"/>
              </w:rPr>
              <w:t>R&amp;D</w:t>
            </w:r>
          </w:p>
        </w:tc>
        <w:tc>
          <w:tcPr>
            <w:tcW w:w="1900"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Minor</w:t>
            </w:r>
          </w:p>
        </w:tc>
        <w:tc>
          <w:tcPr>
            <w:tcW w:w="683" w:type="dxa"/>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3681"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bCs/>
                <w:color w:val="000000"/>
              </w:rPr>
            </w:pPr>
            <w:r w:rsidRPr="00BC3DBF">
              <w:rPr>
                <w:rFonts w:ascii="Calibri" w:eastAsia="Times New Roman" w:hAnsi="Calibri" w:cs="Calibri"/>
                <w:bCs/>
                <w:color w:val="000000"/>
              </w:rPr>
              <w:t>R&amp;D</w:t>
            </w:r>
          </w:p>
        </w:tc>
        <w:tc>
          <w:tcPr>
            <w:tcW w:w="1900"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Observasi</w:t>
            </w:r>
          </w:p>
        </w:tc>
        <w:tc>
          <w:tcPr>
            <w:tcW w:w="683" w:type="dxa"/>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3681"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bCs/>
                <w:color w:val="000000"/>
              </w:rPr>
            </w:pPr>
            <w:r w:rsidRPr="00BC3DBF">
              <w:rPr>
                <w:rFonts w:ascii="Calibri" w:eastAsia="Times New Roman" w:hAnsi="Calibri" w:cs="Calibri"/>
                <w:bCs/>
                <w:color w:val="000000"/>
              </w:rPr>
              <w:t>SALES &amp; DISTRIBUTION</w:t>
            </w:r>
          </w:p>
        </w:tc>
        <w:tc>
          <w:tcPr>
            <w:tcW w:w="1900"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Minor</w:t>
            </w:r>
          </w:p>
        </w:tc>
        <w:tc>
          <w:tcPr>
            <w:tcW w:w="683" w:type="dxa"/>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3681"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bCs/>
                <w:color w:val="000000"/>
              </w:rPr>
            </w:pPr>
            <w:r w:rsidRPr="00BC3DBF">
              <w:rPr>
                <w:rFonts w:ascii="Calibri" w:eastAsia="Times New Roman" w:hAnsi="Calibri" w:cs="Calibri"/>
                <w:bCs/>
                <w:color w:val="000000"/>
              </w:rPr>
              <w:t>GLOBAL SOURCING &amp; NSB</w:t>
            </w:r>
          </w:p>
        </w:tc>
        <w:tc>
          <w:tcPr>
            <w:tcW w:w="1900"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Observasi</w:t>
            </w:r>
          </w:p>
        </w:tc>
        <w:tc>
          <w:tcPr>
            <w:tcW w:w="683" w:type="dxa"/>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3681"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bCs/>
                <w:color w:val="000000"/>
              </w:rPr>
            </w:pPr>
            <w:r w:rsidRPr="00BC3DBF">
              <w:rPr>
                <w:rFonts w:ascii="Calibri" w:eastAsia="Times New Roman" w:hAnsi="Calibri" w:cs="Calibri"/>
                <w:bCs/>
                <w:color w:val="000000"/>
              </w:rPr>
              <w:t>CORPORATE MANAGEMENT SYSTEM</w:t>
            </w:r>
          </w:p>
        </w:tc>
        <w:tc>
          <w:tcPr>
            <w:tcW w:w="1900"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Minor</w:t>
            </w:r>
          </w:p>
        </w:tc>
        <w:tc>
          <w:tcPr>
            <w:tcW w:w="683" w:type="dxa"/>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3681"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bCs/>
                <w:color w:val="000000"/>
              </w:rPr>
            </w:pPr>
            <w:r w:rsidRPr="00BC3DBF">
              <w:rPr>
                <w:rFonts w:ascii="Calibri" w:eastAsia="Times New Roman" w:hAnsi="Calibri" w:cs="Calibri"/>
                <w:bCs/>
                <w:color w:val="000000"/>
              </w:rPr>
              <w:t>CORPORATE MANAGEMENT SYSTEM</w:t>
            </w:r>
          </w:p>
        </w:tc>
        <w:tc>
          <w:tcPr>
            <w:tcW w:w="1900"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Observasi</w:t>
            </w:r>
          </w:p>
        </w:tc>
        <w:tc>
          <w:tcPr>
            <w:tcW w:w="683" w:type="dxa"/>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3681"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bCs/>
                <w:color w:val="000000"/>
              </w:rPr>
            </w:pPr>
            <w:r w:rsidRPr="00BC3DBF">
              <w:rPr>
                <w:rFonts w:ascii="Calibri" w:eastAsia="Times New Roman" w:hAnsi="Calibri" w:cs="Calibri"/>
                <w:bCs/>
                <w:color w:val="000000"/>
              </w:rPr>
              <w:t>MSD &amp; ENGINEERING</w:t>
            </w:r>
          </w:p>
        </w:tc>
        <w:tc>
          <w:tcPr>
            <w:tcW w:w="1900"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Observasi</w:t>
            </w:r>
          </w:p>
        </w:tc>
        <w:tc>
          <w:tcPr>
            <w:tcW w:w="683" w:type="dxa"/>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2</w:t>
            </w:r>
          </w:p>
        </w:tc>
      </w:tr>
      <w:tr w:rsidR="00BC3DBF" w:rsidRPr="00BC3DBF" w:rsidTr="00BC3DBF">
        <w:trPr>
          <w:trHeight w:val="288"/>
        </w:trPr>
        <w:tc>
          <w:tcPr>
            <w:tcW w:w="3681"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bCs/>
                <w:color w:val="000000"/>
              </w:rPr>
            </w:pPr>
            <w:r w:rsidRPr="00BC3DBF">
              <w:rPr>
                <w:rFonts w:ascii="Calibri" w:eastAsia="Times New Roman" w:hAnsi="Calibri" w:cs="Calibri"/>
                <w:bCs/>
                <w:color w:val="000000"/>
              </w:rPr>
              <w:t>HC &amp; GA</w:t>
            </w:r>
          </w:p>
        </w:tc>
        <w:tc>
          <w:tcPr>
            <w:tcW w:w="1900"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Minor</w:t>
            </w:r>
          </w:p>
        </w:tc>
        <w:tc>
          <w:tcPr>
            <w:tcW w:w="683" w:type="dxa"/>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1</w:t>
            </w:r>
          </w:p>
        </w:tc>
      </w:tr>
      <w:tr w:rsidR="00BC3DBF" w:rsidRPr="00BC3DBF" w:rsidTr="00BC3DBF">
        <w:trPr>
          <w:trHeight w:val="288"/>
        </w:trPr>
        <w:tc>
          <w:tcPr>
            <w:tcW w:w="3681"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bCs/>
                <w:color w:val="000000"/>
              </w:rPr>
            </w:pPr>
            <w:r w:rsidRPr="00BC3DBF">
              <w:rPr>
                <w:rFonts w:ascii="Calibri" w:eastAsia="Times New Roman" w:hAnsi="Calibri" w:cs="Calibri"/>
                <w:bCs/>
                <w:color w:val="000000"/>
              </w:rPr>
              <w:t>PPIC</w:t>
            </w:r>
          </w:p>
        </w:tc>
        <w:tc>
          <w:tcPr>
            <w:tcW w:w="1900" w:type="dxa"/>
            <w:shd w:val="clear" w:color="auto" w:fill="auto"/>
            <w:noWrap/>
            <w:vAlign w:val="bottom"/>
            <w:hideMark/>
          </w:tcPr>
          <w:p w:rsidR="00BC3DBF" w:rsidRPr="00BC3DBF" w:rsidRDefault="00BC3DBF" w:rsidP="00BC3DBF">
            <w:pPr>
              <w:spacing w:after="0" w:line="240" w:lineRule="auto"/>
              <w:rPr>
                <w:rFonts w:ascii="Calibri" w:eastAsia="Times New Roman" w:hAnsi="Calibri" w:cs="Calibri"/>
                <w:color w:val="000000"/>
              </w:rPr>
            </w:pPr>
            <w:r w:rsidRPr="00BC3DBF">
              <w:rPr>
                <w:rFonts w:ascii="Calibri" w:eastAsia="Times New Roman" w:hAnsi="Calibri" w:cs="Calibri"/>
                <w:color w:val="000000"/>
              </w:rPr>
              <w:t>Minor</w:t>
            </w:r>
          </w:p>
        </w:tc>
        <w:tc>
          <w:tcPr>
            <w:tcW w:w="683" w:type="dxa"/>
            <w:shd w:val="clear" w:color="auto" w:fill="auto"/>
            <w:noWrap/>
            <w:vAlign w:val="bottom"/>
            <w:hideMark/>
          </w:tcPr>
          <w:p w:rsidR="00BC3DBF" w:rsidRPr="00BC3DBF" w:rsidRDefault="00BC3DBF" w:rsidP="00BC3DBF">
            <w:pPr>
              <w:spacing w:after="0" w:line="240" w:lineRule="auto"/>
              <w:jc w:val="right"/>
              <w:rPr>
                <w:rFonts w:ascii="Calibri" w:eastAsia="Times New Roman" w:hAnsi="Calibri" w:cs="Calibri"/>
                <w:color w:val="000000"/>
              </w:rPr>
            </w:pPr>
            <w:r w:rsidRPr="00BC3DBF">
              <w:rPr>
                <w:rFonts w:ascii="Calibri" w:eastAsia="Times New Roman" w:hAnsi="Calibri" w:cs="Calibri"/>
                <w:color w:val="000000"/>
              </w:rPr>
              <w:t>2</w:t>
            </w:r>
          </w:p>
        </w:tc>
      </w:tr>
      <w:tr w:rsidR="00BC3DBF" w:rsidRPr="00BC3DBF" w:rsidTr="00BC3DBF">
        <w:trPr>
          <w:trHeight w:val="288"/>
        </w:trPr>
        <w:tc>
          <w:tcPr>
            <w:tcW w:w="3681" w:type="dxa"/>
            <w:shd w:val="clear" w:color="DDEBF7" w:fill="DDEBF7"/>
            <w:noWrap/>
            <w:vAlign w:val="bottom"/>
            <w:hideMark/>
          </w:tcPr>
          <w:p w:rsidR="00BC3DBF" w:rsidRPr="00BC3DBF" w:rsidRDefault="00BC3DBF" w:rsidP="00BC3DBF">
            <w:pPr>
              <w:spacing w:after="0" w:line="240" w:lineRule="auto"/>
              <w:rPr>
                <w:rFonts w:ascii="Calibri" w:eastAsia="Times New Roman" w:hAnsi="Calibri" w:cs="Calibri"/>
                <w:b/>
                <w:bCs/>
                <w:color w:val="000000"/>
              </w:rPr>
            </w:pPr>
            <w:r w:rsidRPr="00BC3DBF">
              <w:rPr>
                <w:rFonts w:ascii="Calibri" w:eastAsia="Times New Roman" w:hAnsi="Calibri" w:cs="Calibri"/>
                <w:b/>
                <w:bCs/>
                <w:color w:val="000000"/>
              </w:rPr>
              <w:t>Grand Total</w:t>
            </w:r>
          </w:p>
        </w:tc>
        <w:tc>
          <w:tcPr>
            <w:tcW w:w="1900" w:type="dxa"/>
            <w:shd w:val="clear" w:color="DDEBF7" w:fill="DDEBF7"/>
            <w:noWrap/>
            <w:vAlign w:val="bottom"/>
            <w:hideMark/>
          </w:tcPr>
          <w:p w:rsidR="00BC3DBF" w:rsidRPr="00BC3DBF" w:rsidRDefault="00BC3DBF" w:rsidP="00BC3DBF">
            <w:pPr>
              <w:spacing w:after="0" w:line="240" w:lineRule="auto"/>
              <w:rPr>
                <w:rFonts w:ascii="Calibri" w:eastAsia="Times New Roman" w:hAnsi="Calibri" w:cs="Calibri"/>
                <w:b/>
                <w:bCs/>
                <w:color w:val="000000"/>
              </w:rPr>
            </w:pPr>
          </w:p>
        </w:tc>
        <w:tc>
          <w:tcPr>
            <w:tcW w:w="683" w:type="dxa"/>
            <w:shd w:val="clear" w:color="DDEBF7" w:fill="DDEBF7"/>
            <w:noWrap/>
            <w:vAlign w:val="bottom"/>
            <w:hideMark/>
          </w:tcPr>
          <w:p w:rsidR="00BC3DBF" w:rsidRPr="00BC3DBF" w:rsidRDefault="00BC3DBF" w:rsidP="00BC3DBF">
            <w:pPr>
              <w:spacing w:after="0" w:line="240" w:lineRule="auto"/>
              <w:jc w:val="right"/>
              <w:rPr>
                <w:rFonts w:ascii="Calibri" w:eastAsia="Times New Roman" w:hAnsi="Calibri" w:cs="Calibri"/>
                <w:b/>
                <w:bCs/>
                <w:color w:val="000000"/>
              </w:rPr>
            </w:pPr>
            <w:r w:rsidRPr="00BC3DBF">
              <w:rPr>
                <w:rFonts w:ascii="Calibri" w:eastAsia="Times New Roman" w:hAnsi="Calibri" w:cs="Calibri"/>
                <w:b/>
                <w:bCs/>
                <w:color w:val="000000"/>
              </w:rPr>
              <w:t>15</w:t>
            </w:r>
          </w:p>
        </w:tc>
      </w:tr>
    </w:tbl>
    <w:p w:rsidR="00EC204C" w:rsidRDefault="00EC204C" w:rsidP="00FD1DCB">
      <w:pPr>
        <w:jc w:val="both"/>
        <w:rPr>
          <w:sz w:val="24"/>
          <w:szCs w:val="24"/>
        </w:rPr>
      </w:pPr>
    </w:p>
    <w:p w:rsidR="00FD1DCB" w:rsidRPr="00FD1DCB" w:rsidRDefault="00FD1DCB" w:rsidP="00FD1DCB">
      <w:pPr>
        <w:rPr>
          <w:sz w:val="24"/>
          <w:szCs w:val="24"/>
        </w:rPr>
        <w:sectPr w:rsidR="00FD1DCB" w:rsidRPr="00FD1DCB" w:rsidSect="00FD1DCB">
          <w:pgSz w:w="12240" w:h="15840"/>
          <w:pgMar w:top="1134" w:right="1134" w:bottom="1134" w:left="1701" w:header="760" w:footer="0" w:gutter="0"/>
          <w:cols w:space="720"/>
          <w:docGrid w:linePitch="299"/>
        </w:sectPr>
      </w:pPr>
    </w:p>
    <w:p w:rsidR="00A128CE" w:rsidRDefault="00D6667F" w:rsidP="00D6667F">
      <w:pPr>
        <w:pStyle w:val="ListParagraph"/>
        <w:ind w:left="-142"/>
        <w:jc w:val="left"/>
        <w:rPr>
          <w:b/>
          <w:sz w:val="24"/>
          <w:szCs w:val="24"/>
        </w:rPr>
      </w:pPr>
      <w:r w:rsidRPr="00D6667F">
        <w:rPr>
          <w:b/>
          <w:sz w:val="24"/>
          <w:szCs w:val="24"/>
        </w:rPr>
        <w:lastRenderedPageBreak/>
        <w:t>Rekap Hasil Temuan Audit</w:t>
      </w:r>
    </w:p>
    <w:p w:rsidR="00BC3DBF" w:rsidRDefault="00BC3DBF" w:rsidP="00D6667F">
      <w:pPr>
        <w:pStyle w:val="ListParagraph"/>
        <w:ind w:left="-142"/>
        <w:jc w:val="left"/>
        <w:rPr>
          <w:b/>
          <w:sz w:val="24"/>
          <w:szCs w:val="24"/>
        </w:rPr>
      </w:pPr>
    </w:p>
    <w:tbl>
      <w:tblPr>
        <w:tblW w:w="14565" w:type="dxa"/>
        <w:tblInd w:w="-147" w:type="dxa"/>
        <w:tblLayout w:type="fixed"/>
        <w:tblLook w:val="04A0" w:firstRow="1" w:lastRow="0" w:firstColumn="1" w:lastColumn="0" w:noHBand="0" w:noVBand="1"/>
      </w:tblPr>
      <w:tblGrid>
        <w:gridCol w:w="550"/>
        <w:gridCol w:w="1820"/>
        <w:gridCol w:w="2096"/>
        <w:gridCol w:w="1771"/>
        <w:gridCol w:w="1028"/>
        <w:gridCol w:w="1949"/>
        <w:gridCol w:w="1884"/>
        <w:gridCol w:w="1539"/>
        <w:gridCol w:w="964"/>
        <w:gridCol w:w="964"/>
      </w:tblGrid>
      <w:tr w:rsidR="00BC3DBF" w:rsidRPr="00BC3DBF" w:rsidTr="00BC3DBF">
        <w:trPr>
          <w:trHeight w:val="510"/>
          <w:tblHeader/>
        </w:trPr>
        <w:tc>
          <w:tcPr>
            <w:tcW w:w="5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C3DBF" w:rsidRPr="00BC3DBF" w:rsidRDefault="00BC3DBF" w:rsidP="00BC3DBF">
            <w:pPr>
              <w:spacing w:after="0" w:line="240" w:lineRule="auto"/>
              <w:jc w:val="center"/>
              <w:rPr>
                <w:rFonts w:ascii="Arial" w:eastAsia="Times New Roman" w:hAnsi="Arial" w:cs="Arial"/>
                <w:b/>
                <w:bCs/>
                <w:sz w:val="20"/>
                <w:szCs w:val="20"/>
              </w:rPr>
            </w:pPr>
            <w:r w:rsidRPr="00BC3DBF">
              <w:rPr>
                <w:rFonts w:ascii="Arial" w:eastAsia="Times New Roman" w:hAnsi="Arial" w:cs="Arial"/>
                <w:b/>
                <w:bCs/>
                <w:sz w:val="20"/>
                <w:szCs w:val="20"/>
              </w:rPr>
              <w:t>No</w:t>
            </w:r>
          </w:p>
        </w:tc>
        <w:tc>
          <w:tcPr>
            <w:tcW w:w="1820" w:type="dxa"/>
            <w:tcBorders>
              <w:top w:val="single" w:sz="4" w:space="0" w:color="auto"/>
              <w:left w:val="nil"/>
              <w:bottom w:val="single" w:sz="4" w:space="0" w:color="auto"/>
              <w:right w:val="single" w:sz="4" w:space="0" w:color="auto"/>
            </w:tcBorders>
            <w:shd w:val="clear" w:color="000000" w:fill="D9D9D9"/>
            <w:vAlign w:val="center"/>
            <w:hideMark/>
          </w:tcPr>
          <w:p w:rsidR="00BC3DBF" w:rsidRPr="00BC3DBF" w:rsidRDefault="00BC3DBF" w:rsidP="00BC3DBF">
            <w:pPr>
              <w:spacing w:after="0" w:line="240" w:lineRule="auto"/>
              <w:jc w:val="center"/>
              <w:rPr>
                <w:rFonts w:ascii="Arial" w:eastAsia="Times New Roman" w:hAnsi="Arial" w:cs="Arial"/>
                <w:b/>
                <w:bCs/>
                <w:sz w:val="20"/>
                <w:szCs w:val="20"/>
              </w:rPr>
            </w:pPr>
            <w:r w:rsidRPr="00BC3DBF">
              <w:rPr>
                <w:rFonts w:ascii="Arial" w:eastAsia="Times New Roman" w:hAnsi="Arial" w:cs="Arial"/>
                <w:b/>
                <w:bCs/>
                <w:sz w:val="20"/>
                <w:szCs w:val="20"/>
              </w:rPr>
              <w:t>Proses / Dept</w:t>
            </w:r>
          </w:p>
        </w:tc>
        <w:tc>
          <w:tcPr>
            <w:tcW w:w="2096" w:type="dxa"/>
            <w:tcBorders>
              <w:top w:val="single" w:sz="4" w:space="0" w:color="auto"/>
              <w:left w:val="nil"/>
              <w:bottom w:val="single" w:sz="4" w:space="0" w:color="auto"/>
              <w:right w:val="single" w:sz="4" w:space="0" w:color="auto"/>
            </w:tcBorders>
            <w:shd w:val="clear" w:color="000000" w:fill="D9D9D9"/>
            <w:vAlign w:val="center"/>
            <w:hideMark/>
          </w:tcPr>
          <w:p w:rsidR="00BC3DBF" w:rsidRPr="00BC3DBF" w:rsidRDefault="00BC3DBF" w:rsidP="00BC3DBF">
            <w:pPr>
              <w:spacing w:after="0" w:line="240" w:lineRule="auto"/>
              <w:jc w:val="center"/>
              <w:rPr>
                <w:rFonts w:ascii="Arial" w:eastAsia="Times New Roman" w:hAnsi="Arial" w:cs="Arial"/>
                <w:b/>
                <w:bCs/>
                <w:sz w:val="20"/>
                <w:szCs w:val="20"/>
              </w:rPr>
            </w:pPr>
            <w:r w:rsidRPr="00BC3DBF">
              <w:rPr>
                <w:rFonts w:ascii="Arial" w:eastAsia="Times New Roman" w:hAnsi="Arial" w:cs="Arial"/>
                <w:b/>
                <w:bCs/>
                <w:sz w:val="20"/>
                <w:szCs w:val="20"/>
              </w:rPr>
              <w:t xml:space="preserve">Ringkasan Temuan </w:t>
            </w:r>
          </w:p>
        </w:tc>
        <w:tc>
          <w:tcPr>
            <w:tcW w:w="1771" w:type="dxa"/>
            <w:tcBorders>
              <w:top w:val="single" w:sz="4" w:space="0" w:color="auto"/>
              <w:left w:val="nil"/>
              <w:bottom w:val="single" w:sz="4" w:space="0" w:color="auto"/>
              <w:right w:val="single" w:sz="4" w:space="0" w:color="auto"/>
            </w:tcBorders>
            <w:shd w:val="clear" w:color="000000" w:fill="D9D9D9"/>
            <w:vAlign w:val="center"/>
            <w:hideMark/>
          </w:tcPr>
          <w:p w:rsidR="00BC3DBF" w:rsidRPr="00BC3DBF" w:rsidRDefault="00BC3DBF" w:rsidP="00BC3DBF">
            <w:pPr>
              <w:spacing w:after="0" w:line="240" w:lineRule="auto"/>
              <w:jc w:val="center"/>
              <w:rPr>
                <w:rFonts w:ascii="Arial" w:eastAsia="Times New Roman" w:hAnsi="Arial" w:cs="Arial"/>
                <w:b/>
                <w:bCs/>
                <w:sz w:val="20"/>
                <w:szCs w:val="20"/>
              </w:rPr>
            </w:pPr>
            <w:r w:rsidRPr="00BC3DBF">
              <w:rPr>
                <w:rFonts w:ascii="Arial" w:eastAsia="Times New Roman" w:hAnsi="Arial" w:cs="Arial"/>
                <w:b/>
                <w:bCs/>
                <w:sz w:val="20"/>
                <w:szCs w:val="20"/>
              </w:rPr>
              <w:t>Elemen</w:t>
            </w:r>
          </w:p>
        </w:tc>
        <w:tc>
          <w:tcPr>
            <w:tcW w:w="1028" w:type="dxa"/>
            <w:tcBorders>
              <w:top w:val="single" w:sz="4" w:space="0" w:color="auto"/>
              <w:left w:val="nil"/>
              <w:bottom w:val="single" w:sz="4" w:space="0" w:color="auto"/>
              <w:right w:val="single" w:sz="4" w:space="0" w:color="auto"/>
            </w:tcBorders>
            <w:shd w:val="clear" w:color="000000" w:fill="D9D9D9"/>
            <w:vAlign w:val="center"/>
            <w:hideMark/>
          </w:tcPr>
          <w:p w:rsidR="00BC3DBF" w:rsidRPr="00BC3DBF" w:rsidRDefault="00BC3DBF" w:rsidP="00BC3DBF">
            <w:pPr>
              <w:spacing w:after="0" w:line="240" w:lineRule="auto"/>
              <w:jc w:val="center"/>
              <w:rPr>
                <w:rFonts w:ascii="Arial" w:eastAsia="Times New Roman" w:hAnsi="Arial" w:cs="Arial"/>
                <w:b/>
                <w:bCs/>
                <w:sz w:val="20"/>
                <w:szCs w:val="20"/>
              </w:rPr>
            </w:pPr>
            <w:r w:rsidRPr="00BC3DBF">
              <w:rPr>
                <w:rFonts w:ascii="Arial" w:eastAsia="Times New Roman" w:hAnsi="Arial" w:cs="Arial"/>
                <w:b/>
                <w:bCs/>
                <w:sz w:val="20"/>
                <w:szCs w:val="20"/>
              </w:rPr>
              <w:t>Kategori Temuan</w:t>
            </w:r>
          </w:p>
        </w:tc>
        <w:tc>
          <w:tcPr>
            <w:tcW w:w="1949" w:type="dxa"/>
            <w:tcBorders>
              <w:top w:val="single" w:sz="4" w:space="0" w:color="auto"/>
              <w:left w:val="nil"/>
              <w:bottom w:val="single" w:sz="4" w:space="0" w:color="auto"/>
              <w:right w:val="single" w:sz="4" w:space="0" w:color="auto"/>
            </w:tcBorders>
            <w:shd w:val="clear" w:color="000000" w:fill="D9D9D9"/>
            <w:vAlign w:val="center"/>
            <w:hideMark/>
          </w:tcPr>
          <w:p w:rsidR="00BC3DBF" w:rsidRPr="00BC3DBF" w:rsidRDefault="00BC3DBF" w:rsidP="00BC3DBF">
            <w:pPr>
              <w:spacing w:after="0" w:line="240" w:lineRule="auto"/>
              <w:jc w:val="center"/>
              <w:rPr>
                <w:rFonts w:ascii="Arial" w:eastAsia="Times New Roman" w:hAnsi="Arial" w:cs="Arial"/>
                <w:b/>
                <w:bCs/>
                <w:sz w:val="20"/>
                <w:szCs w:val="20"/>
              </w:rPr>
            </w:pPr>
            <w:r w:rsidRPr="00BC3DBF">
              <w:rPr>
                <w:rFonts w:ascii="Arial" w:eastAsia="Times New Roman" w:hAnsi="Arial" w:cs="Arial"/>
                <w:b/>
                <w:bCs/>
                <w:sz w:val="20"/>
                <w:szCs w:val="20"/>
              </w:rPr>
              <w:t>Tindakan/Perbaikan/Pencegahan</w:t>
            </w:r>
          </w:p>
        </w:tc>
        <w:tc>
          <w:tcPr>
            <w:tcW w:w="1884" w:type="dxa"/>
            <w:tcBorders>
              <w:top w:val="single" w:sz="4" w:space="0" w:color="auto"/>
              <w:left w:val="nil"/>
              <w:bottom w:val="single" w:sz="4" w:space="0" w:color="auto"/>
              <w:right w:val="single" w:sz="4" w:space="0" w:color="auto"/>
            </w:tcBorders>
            <w:shd w:val="clear" w:color="000000" w:fill="D9D9D9"/>
            <w:vAlign w:val="center"/>
            <w:hideMark/>
          </w:tcPr>
          <w:p w:rsidR="00BC3DBF" w:rsidRPr="00BC3DBF" w:rsidRDefault="00BC3DBF" w:rsidP="00BC3DBF">
            <w:pPr>
              <w:spacing w:after="0" w:line="240" w:lineRule="auto"/>
              <w:jc w:val="center"/>
              <w:rPr>
                <w:rFonts w:ascii="Arial" w:eastAsia="Times New Roman" w:hAnsi="Arial" w:cs="Arial"/>
                <w:b/>
                <w:bCs/>
                <w:sz w:val="20"/>
                <w:szCs w:val="20"/>
              </w:rPr>
            </w:pPr>
            <w:r w:rsidRPr="00BC3DBF">
              <w:rPr>
                <w:rFonts w:ascii="Arial" w:eastAsia="Times New Roman" w:hAnsi="Arial" w:cs="Arial"/>
                <w:b/>
                <w:bCs/>
                <w:sz w:val="20"/>
                <w:szCs w:val="20"/>
              </w:rPr>
              <w:t>Dampak</w:t>
            </w:r>
          </w:p>
        </w:tc>
        <w:tc>
          <w:tcPr>
            <w:tcW w:w="1539" w:type="dxa"/>
            <w:tcBorders>
              <w:top w:val="single" w:sz="4" w:space="0" w:color="auto"/>
              <w:left w:val="nil"/>
              <w:bottom w:val="single" w:sz="4" w:space="0" w:color="auto"/>
              <w:right w:val="single" w:sz="4" w:space="0" w:color="auto"/>
            </w:tcBorders>
            <w:shd w:val="clear" w:color="000000" w:fill="D9D9D9"/>
            <w:vAlign w:val="center"/>
            <w:hideMark/>
          </w:tcPr>
          <w:p w:rsidR="00BC3DBF" w:rsidRPr="00BC3DBF" w:rsidRDefault="00BC3DBF" w:rsidP="00BC3DBF">
            <w:pPr>
              <w:spacing w:after="0" w:line="240" w:lineRule="auto"/>
              <w:jc w:val="center"/>
              <w:rPr>
                <w:rFonts w:ascii="Arial" w:eastAsia="Times New Roman" w:hAnsi="Arial" w:cs="Arial"/>
                <w:b/>
                <w:bCs/>
                <w:sz w:val="20"/>
                <w:szCs w:val="20"/>
              </w:rPr>
            </w:pPr>
            <w:r w:rsidRPr="00BC3DBF">
              <w:rPr>
                <w:rFonts w:ascii="Arial" w:eastAsia="Times New Roman" w:hAnsi="Arial" w:cs="Arial"/>
                <w:b/>
                <w:bCs/>
                <w:sz w:val="20"/>
                <w:szCs w:val="20"/>
              </w:rPr>
              <w:t>Tanggal Kesanggupan Auditee</w:t>
            </w:r>
          </w:p>
        </w:tc>
        <w:tc>
          <w:tcPr>
            <w:tcW w:w="964" w:type="dxa"/>
            <w:tcBorders>
              <w:top w:val="single" w:sz="4" w:space="0" w:color="auto"/>
              <w:left w:val="nil"/>
              <w:bottom w:val="single" w:sz="4" w:space="0" w:color="auto"/>
              <w:right w:val="single" w:sz="4" w:space="0" w:color="auto"/>
            </w:tcBorders>
            <w:shd w:val="clear" w:color="000000" w:fill="D9D9D9"/>
            <w:vAlign w:val="center"/>
            <w:hideMark/>
          </w:tcPr>
          <w:p w:rsidR="00BC3DBF" w:rsidRPr="00BC3DBF" w:rsidRDefault="00BC3DBF" w:rsidP="00BC3DBF">
            <w:pPr>
              <w:spacing w:after="0" w:line="240" w:lineRule="auto"/>
              <w:jc w:val="center"/>
              <w:rPr>
                <w:rFonts w:ascii="Arial" w:eastAsia="Times New Roman" w:hAnsi="Arial" w:cs="Arial"/>
                <w:b/>
                <w:bCs/>
                <w:sz w:val="20"/>
                <w:szCs w:val="20"/>
              </w:rPr>
            </w:pPr>
            <w:r w:rsidRPr="00BC3DBF">
              <w:rPr>
                <w:rFonts w:ascii="Arial" w:eastAsia="Times New Roman" w:hAnsi="Arial" w:cs="Arial"/>
                <w:b/>
                <w:bCs/>
                <w:sz w:val="20"/>
                <w:szCs w:val="20"/>
              </w:rPr>
              <w:t>Efektif</w:t>
            </w:r>
          </w:p>
        </w:tc>
        <w:tc>
          <w:tcPr>
            <w:tcW w:w="964" w:type="dxa"/>
            <w:tcBorders>
              <w:top w:val="single" w:sz="4" w:space="0" w:color="auto"/>
              <w:left w:val="nil"/>
              <w:bottom w:val="single" w:sz="4" w:space="0" w:color="auto"/>
              <w:right w:val="single" w:sz="4" w:space="0" w:color="auto"/>
            </w:tcBorders>
            <w:shd w:val="clear" w:color="000000" w:fill="D9D9D9"/>
            <w:vAlign w:val="center"/>
            <w:hideMark/>
          </w:tcPr>
          <w:p w:rsidR="00BC3DBF" w:rsidRPr="00BC3DBF" w:rsidRDefault="00BC3DBF" w:rsidP="00BC3DBF">
            <w:pPr>
              <w:spacing w:after="0" w:line="240" w:lineRule="auto"/>
              <w:jc w:val="center"/>
              <w:rPr>
                <w:rFonts w:ascii="Arial" w:eastAsia="Times New Roman" w:hAnsi="Arial" w:cs="Arial"/>
                <w:b/>
                <w:bCs/>
                <w:sz w:val="20"/>
                <w:szCs w:val="20"/>
              </w:rPr>
            </w:pPr>
            <w:r w:rsidRPr="00BC3DBF">
              <w:rPr>
                <w:rFonts w:ascii="Arial" w:eastAsia="Times New Roman" w:hAnsi="Arial" w:cs="Arial"/>
                <w:b/>
                <w:bCs/>
                <w:sz w:val="20"/>
                <w:szCs w:val="20"/>
              </w:rPr>
              <w:t>Tidak Efektif</w:t>
            </w:r>
          </w:p>
        </w:tc>
      </w:tr>
      <w:tr w:rsidR="00BC3DBF" w:rsidRPr="00BC3DBF" w:rsidTr="00BC3DBF">
        <w:trPr>
          <w:trHeight w:val="1848"/>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1</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SALES &amp; DISTRIBUTION</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Calibri"/>
                <w:color w:val="000000"/>
                <w:sz w:val="20"/>
                <w:szCs w:val="20"/>
              </w:rPr>
              <w:t>Perjanjian kerjasama vendor Angkutan untuk tahun 2024 belum dilakukan pembaharuan (Baru Garuda)</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ISO 9001:2015 Klausul 8.4. Pengendalian Pengadaan Proses, Produk dan Jasa Pihak Eksternal</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Mi</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Rencana pemanggilan vendor angkutan untuk pembahasan MoU 2024.</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Berpotensi terhadap keamanan barang selama pengiriman tidak terjaga, waktu sampai ditujuan tidak bisa terkontrol</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15-Jul-24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264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2</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GLOBAL SOURCING &amp; NSB</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Belum melakukan Evaluasi Kepauasan Pelanggan untuk distributor nursingbed</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ISO 9001:2015 Klausul 9.1. Pemantauan, Pengukuran, Analisis dan Evaluasi</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P</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Akan dibuatkan evaluasi hasil survey kepuasan pelanggan nursing bed</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Tidak dapat mengetahui kekurangan produk maupun layanan kita dimata customer, tidak dapat mengetahui kebutuhan customer seperti apa</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30-May-24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V</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2376"/>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3</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CORPORATE MANAGEMENT SYSTEM</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Tindak lanjut 2 minor dan 4 observasi hasil temuan Audit eksternal Sucofindo belum close.</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PermenKes No.20 Tahun 2017 Lampiran I Butir III.E.2</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Mi</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Melengkapi data pendukung temuan minor dan disubmit ke Sucofindo.</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Dapat ditunda sertifikatnya oleh pihak Sucofindo, secara temuan tidak dapat memberikan dampak perbaikan untuk perusahaan karena belum close</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30-May-24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V</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1584"/>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lastRenderedPageBreak/>
              <w:t>4</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CORPORATE MANAGEMENT SYSTEM</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Standarisasi Form HIRADC beserta evaluasi HIRADC, sasaran K3L semua department. Serta penyampaian evaluasinya tidak dilakukan secara konsisten</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ISO 45001:2018 Klausul 9.1 Pemantauan, Analisis dan Evaluasi</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P</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CMS akan melakukan Reminder dan collect evaluasi bulanan sasaran mutu K3 dan Lingkungan serta HIRADC untuk semua department bersamaan dengan collect BSC.</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Ketidakseragaman dalam identifikasi risiko bahaya di masing-masing departemen.</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24-Jun-24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V</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264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5</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MSD &amp; ENGINEERING</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Daftar Alat Ukur belum dilakukan Update, file daftar alat ukur terakhir update tahun 2009.</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ISO 9001:2015 Klausul 7.1.5.2. Pengukuran yang Mampu Telusur</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P</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Pada tahun 2024 di bulan Juni, akan mulai di update untuk daftar alat ukur yang dipergunakan oleh Engineering, dan akan diterapkan update terskema, setiap kali ada perubahan</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Ada alat ukur yang sudah tidak layak dipakai masih digunakan, atau ada alat ukur yang sudah tidak uptodate masih ada list.</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12-Jun-24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V</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4224"/>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lastRenderedPageBreak/>
              <w:t>6</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MSD &amp; ENGINEERING</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Belum dilakukan Proses Kalibrasi pada Alat Ukur (sarana) yang digunakan di area Departemen Engineering</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ISO 9001:2015 Klausul 7.1.5.2. Pengukuran yang Mampu Telusur</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P</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 xml:space="preserve">• Inventarisir semua alat ukur di Engineering untuk ditentukan prioritas kalibrasi </w:t>
            </w:r>
            <w:r w:rsidRPr="00BC3DBF">
              <w:rPr>
                <w:rFonts w:ascii="Arial" w:eastAsia="Times New Roman" w:hAnsi="Arial" w:cs="Arial"/>
                <w:color w:val="000000"/>
                <w:sz w:val="20"/>
                <w:szCs w:val="20"/>
              </w:rPr>
              <w:br/>
              <w:t>• Penentuan aturan dan jangka waktu kalibrasi untuk setiap alat ukur di Engineering</w:t>
            </w:r>
            <w:r w:rsidRPr="00BC3DBF">
              <w:rPr>
                <w:rFonts w:ascii="Arial" w:eastAsia="Times New Roman" w:hAnsi="Arial" w:cs="Arial"/>
                <w:color w:val="000000"/>
                <w:sz w:val="20"/>
                <w:szCs w:val="20"/>
              </w:rPr>
              <w:br/>
              <w:t>• Pembuatan I.K untuk proses kalibrasi di Engineering</w:t>
            </w:r>
            <w:r w:rsidRPr="00BC3DBF">
              <w:rPr>
                <w:rFonts w:ascii="Arial" w:eastAsia="Times New Roman" w:hAnsi="Arial" w:cs="Arial"/>
                <w:color w:val="000000"/>
                <w:sz w:val="20"/>
                <w:szCs w:val="20"/>
              </w:rPr>
              <w:br/>
              <w:t>• Pembuatan SOP dalam proses Kalibrasi di Engineering</w:t>
            </w:r>
            <w:r w:rsidRPr="00BC3DBF">
              <w:rPr>
                <w:rFonts w:ascii="Arial" w:eastAsia="Times New Roman" w:hAnsi="Arial" w:cs="Arial"/>
                <w:color w:val="000000"/>
                <w:sz w:val="20"/>
                <w:szCs w:val="20"/>
              </w:rPr>
              <w:br/>
              <w:t>• Pengajuan alat ukur yang akan di kalibrasi kepada pihak perusahaan dan departemen terkait</w:t>
            </w:r>
            <w:r w:rsidRPr="00BC3DBF">
              <w:rPr>
                <w:rFonts w:ascii="Arial" w:eastAsia="Times New Roman" w:hAnsi="Arial" w:cs="Arial"/>
                <w:color w:val="000000"/>
                <w:sz w:val="20"/>
                <w:szCs w:val="20"/>
              </w:rPr>
              <w:br/>
              <w:t>• Pembuatan berita acara, jika permintaan kalibrasi ditolak oleh perusahaan dikarenakan alasan budget atau alasan lainnya</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Bisa menyebabkan hasil dari pengukuran tidak sesuai dengan yang tertulis pada dokumen.</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8-Jul-24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264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lastRenderedPageBreak/>
              <w:t>7</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HC &amp; GA</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SOP terkait alur dokumen Memorandum of Understanding (MoU) / perjanjian kerjasama belum ada sehingga baru sebagian departemen yang menyerahkan MoU ke bagian legal.</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ISO 9001:2015 Klausul 8.4. Pengendalian Pengadaan Proses, Produk dan Jasa Pihak Eksternal</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Mi</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Dilakukan sosialisasi mengenai alur dokumen perjanjian dan legal drafting kepada seluruh Departemen</w:t>
            </w:r>
            <w:r w:rsidRPr="00BC3DBF">
              <w:rPr>
                <w:rFonts w:ascii="Arial" w:eastAsia="Times New Roman" w:hAnsi="Arial" w:cs="Arial"/>
                <w:color w:val="000000"/>
                <w:sz w:val="20"/>
                <w:szCs w:val="20"/>
              </w:rPr>
              <w:br/>
              <w:t>- Dibuatkan list dokumen legal dan folder khusus dokumen legal</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Secara legal isi dari dokumen perjanjian bisa tidak sesuai yang diharapkan dan jika ada perselisihan secara hukum, penyelesaiannya tidak diatur dalam perjanjian</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21-Jun-24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V</w:t>
            </w:r>
          </w:p>
        </w:tc>
      </w:tr>
      <w:tr w:rsidR="00BC3DBF" w:rsidRPr="00BC3DBF" w:rsidTr="00BC3DBF">
        <w:trPr>
          <w:trHeight w:val="2376"/>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8</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IT</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Monitoring realisasi program digitalisasi system (permintaan dari All Departemen) belum terdata secara komprehensif</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 xml:space="preserve">ISO 9001:2015 Klausul 4.4 Sistem Manajemen Mutu dan Proses </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P</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Akan dibuatkan format realisasi program digitalisasi system yang terpisah dari BSC</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Tidak dapat dilakukan monitoring dan evaluasi dari target yang sudah ditetapkan. Pencapaian tidak termonitor dan terkontrol.</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21-Jun-24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V</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264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9</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PCH</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 xml:space="preserve">Pengelolaan scrap dan K3 belum terdapat pada pasal dokumen perjanjian supplier </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 xml:space="preserve">ISO 9001:2015 Klausul 4.4 Sistem Manajemen Mutu dan Proses </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P</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Pengelolaan scrap dan K3 akan dibahas dengan bagian legal supaya di perjanjian tahun kedepan bisa dicantumkan di surat perjanjian (pembuatan draft perjanjian)</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Bisa menyebabkan kerugian bagi perusahaan jika ada scrapt di subkon namun tidak diatur secara jelas dalam dokumen perjanjian supplier.</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28-Jun-24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3168"/>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lastRenderedPageBreak/>
              <w:t>10</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QC</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Proses Inspeksi kedatangan barang jadi di dept QC hanya memuat produk reguler dan prototype saja, belum memuat point Inspeksi barang jadi untuk vendor local dan vendor import pada SOP QC P.1.0. Prosedur Inspeksi Pengetesan Penerimaan</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ISO 9001:2015 Klausul 8.4. Pengendalian Pengadaan Proses, Produk dan Jasa Pihak Eksternal</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P</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Revisi / update Prosedur QC P.1.0. Prosedur Inspeksi Pengetesan Penerimaan.</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Ada resiko barang yang diterima dari vendor baik lokal untuk barang beli jadi maupun impor tidak dapat dipastikan secara kualitas barang. Kemungkinan kualitas tidak sesuai diterima oleh pihak Chitose.</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12-Jun-24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V</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1584"/>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11</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QC</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Sample thickness Tester dikriterianya 0.25 micron meter sedangkan hasil kalibrasinya 5% dan LUX Meter kriterianya 25 LUX sedangkan hasil kalibrasinya 5%, sehingga tidak sesuai dengan kriteria penyimpangan kalibrasi yang diperbolehkan pada list keberterimaan alat.</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ISO 9001 Klausul 7.1.5.2. Pengukuran yang Mampu Telusur</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P</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Revisi / update list keberterimaan yang disesuaikan dengan nilai pada sertifikat kalibrasi alat.</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Dapat menyebabkan salah baca terkait standar penyimpangan yang dapat diterima.</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12-Jun-24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V</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1584"/>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lastRenderedPageBreak/>
              <w:t>12</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R&amp;D</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Pengadaan  Sarana Blow Mould Plastic For Corner HF Board Ranaya yang di develop oleh R&amp;D belum memiliki bukti terdokumentasi berupa daftar sarana/asset.</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ISO 9001:2015 Klausul 7.5 Informasi Terdokumentasi</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P</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Mengupdate list Moulding serta menyertakan lokasi penyimpanan Asset tersebut.</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Bisa menyebabkan kehilangan sarana/ tidak dapat ditelusur dimana penyimpanan asset tersebut.</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28-Jun-24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3168"/>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13</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R&amp;D</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Calibri"/>
                <w:color w:val="000000"/>
                <w:sz w:val="20"/>
                <w:szCs w:val="20"/>
              </w:rPr>
              <w:t>1. Pada produk Kumi MD WS terdapat ketidaksesuaian penggunaan komponen, dimana komponen holder C dimasukan ke BOM dan GTKP namun secara actual komponen tersebut tidak dipergunakan, sehingga menimbulkan cost yang tidak terserap produk.</w:t>
            </w:r>
            <w:r w:rsidRPr="00BC3DBF">
              <w:rPr>
                <w:rFonts w:ascii="Arial" w:eastAsia="Times New Roman" w:hAnsi="Arial" w:cs="Calibri"/>
                <w:color w:val="000000"/>
                <w:sz w:val="20"/>
                <w:szCs w:val="20"/>
              </w:rPr>
              <w:br/>
              <w:t>2. Produk Maple Rack (L) Custom tidak melalui proses pengujian Q</w:t>
            </w:r>
            <w:r w:rsidRPr="00BC3DBF">
              <w:rPr>
                <w:rFonts w:ascii="Arial" w:eastAsia="Times New Roman" w:hAnsi="Arial" w:cs="Calibri"/>
                <w:color w:val="000000"/>
                <w:sz w:val="20"/>
                <w:szCs w:val="20"/>
              </w:rPr>
              <w:br/>
              <w:t>3. Belum dilakukan sosialisasi kepada produksi untuk mass pro produk Kumi MD WS dan Maplle Racck L Custome 1600</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ISO 9001:2015 Klausul 8.3 Desain dan pengembangan produk dan jasa</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Mi</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Mengupdate bisnis Proses RnD serta melakukan Sosialisasi setiap akan dilakukan Produksi Massal</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Menyebabkan kerugian bagi perusahaan karena mengakibatkan pembelian material, proses pengerjaar barang setengah jadi namun pada saat akhir tidak terserap ke produk</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28-Jun-24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2112"/>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lastRenderedPageBreak/>
              <w:t>14</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PPIC</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Calibri"/>
                <w:color w:val="000000"/>
                <w:sz w:val="20"/>
                <w:szCs w:val="20"/>
              </w:rPr>
              <w:t>Proses pengiriman material pipa 12.7 X 1.5 X 404 seharusnya dikirim ke CV. Rajawali, tetapi aktual dikirimkan ke CV. Hinani. Hal ini tidak sesuai dengan SOP P.11. Prosedur kirim Barang di Supplier langung ke subkon.</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ISO 9001:2015 Klausul 8.1. Perencanaan dan Pengendalian Operasional</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Mi</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Calibri"/>
                <w:color w:val="000000"/>
                <w:sz w:val="20"/>
                <w:szCs w:val="20"/>
              </w:rPr>
              <w:t>Ditekankan kembali pada pemegang stok untuk melaksanakan Sisdur Manajemen Mutu (ISO 9001) SCM Point 6 P.3.0. Prosedur Pengendalian Material IC ditambah dengan membubuhkan chek list di jumlah komponen pada Dokumen Surat Pengantar ke Subkon / Supplier.</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Dapat menyebabkan keterlambatan kedatangan material, dikarenakan kesalahan kirim material ke vendor.</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7-Jun-24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V</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r w:rsidR="00BC3DBF" w:rsidRPr="00BC3DBF" w:rsidTr="00BC3DBF">
        <w:trPr>
          <w:trHeight w:val="2376"/>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15</w:t>
            </w:r>
          </w:p>
        </w:tc>
        <w:tc>
          <w:tcPr>
            <w:tcW w:w="1820"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PPIC</w:t>
            </w:r>
          </w:p>
        </w:tc>
        <w:tc>
          <w:tcPr>
            <w:tcW w:w="2096"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Calibri"/>
                <w:color w:val="000000"/>
                <w:sz w:val="20"/>
                <w:szCs w:val="20"/>
              </w:rPr>
              <w:t>Data hasil PKH saat sampling hasil produksi 31 Mei 2024 tidak sesuai dengan data SAP.</w:t>
            </w:r>
            <w:r w:rsidRPr="00BC3DBF">
              <w:rPr>
                <w:rFonts w:ascii="Arial" w:eastAsia="Times New Roman" w:hAnsi="Arial" w:cs="Calibri"/>
                <w:color w:val="000000"/>
                <w:sz w:val="20"/>
                <w:szCs w:val="20"/>
              </w:rPr>
              <w:br/>
              <w:t>Data internal SCM (monitoring RPB vs PKH) : 711 pcs, sedangkan data di SAP 1.035 pcs</w:t>
            </w:r>
          </w:p>
        </w:tc>
        <w:tc>
          <w:tcPr>
            <w:tcW w:w="1771"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Arial"/>
                <w:color w:val="000000"/>
                <w:sz w:val="20"/>
                <w:szCs w:val="20"/>
              </w:rPr>
              <w:t>ISO 9001:2015 Klausul 8.1. Perencanaan dan Pengendalian Operasional</w:t>
            </w:r>
          </w:p>
        </w:tc>
        <w:tc>
          <w:tcPr>
            <w:tcW w:w="1028"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Mi</w:t>
            </w:r>
          </w:p>
        </w:tc>
        <w:tc>
          <w:tcPr>
            <w:tcW w:w="194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rPr>
                <w:rFonts w:ascii="Arial" w:eastAsia="Times New Roman" w:hAnsi="Arial" w:cs="Arial"/>
                <w:color w:val="000000"/>
                <w:sz w:val="20"/>
                <w:szCs w:val="20"/>
              </w:rPr>
            </w:pPr>
            <w:r w:rsidRPr="00BC3DBF">
              <w:rPr>
                <w:rFonts w:ascii="Arial" w:eastAsia="Times New Roman" w:hAnsi="Arial" w:cs="Calibri"/>
                <w:color w:val="000000"/>
                <w:sz w:val="20"/>
                <w:szCs w:val="20"/>
              </w:rPr>
              <w:t>Melakukan komunikasi dengan Line Assy Industri dan Baros untuk tidak diperbolehkan memasukan hasil assembling yang belum lengkap kedalam LPHP dan RAF harus sesuai dengan qty barang yang sudah selesai Assy di H+0</w:t>
            </w:r>
          </w:p>
        </w:tc>
        <w:tc>
          <w:tcPr>
            <w:tcW w:w="188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Memungkinan terjadinya kesalahan informasi yang dapat menyebabkan kesalahan pengambilan keputusan.</w:t>
            </w:r>
          </w:p>
        </w:tc>
        <w:tc>
          <w:tcPr>
            <w:tcW w:w="1539"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7-Jun-24</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V</w:t>
            </w:r>
          </w:p>
        </w:tc>
        <w:tc>
          <w:tcPr>
            <w:tcW w:w="964" w:type="dxa"/>
            <w:tcBorders>
              <w:top w:val="nil"/>
              <w:left w:val="nil"/>
              <w:bottom w:val="single" w:sz="4" w:space="0" w:color="auto"/>
              <w:right w:val="single" w:sz="4" w:space="0" w:color="auto"/>
            </w:tcBorders>
            <w:shd w:val="clear" w:color="auto" w:fill="auto"/>
            <w:vAlign w:val="center"/>
            <w:hideMark/>
          </w:tcPr>
          <w:p w:rsidR="00BC3DBF" w:rsidRPr="00BC3DBF" w:rsidRDefault="00BC3DBF" w:rsidP="00BC3DBF">
            <w:pPr>
              <w:spacing w:after="0" w:line="240" w:lineRule="auto"/>
              <w:jc w:val="center"/>
              <w:rPr>
                <w:rFonts w:ascii="Arial" w:eastAsia="Times New Roman" w:hAnsi="Arial" w:cs="Arial"/>
                <w:color w:val="000000"/>
                <w:sz w:val="20"/>
                <w:szCs w:val="20"/>
              </w:rPr>
            </w:pPr>
            <w:r w:rsidRPr="00BC3DBF">
              <w:rPr>
                <w:rFonts w:ascii="Arial" w:eastAsia="Times New Roman" w:hAnsi="Arial" w:cs="Arial"/>
                <w:color w:val="000000"/>
                <w:sz w:val="20"/>
                <w:szCs w:val="20"/>
              </w:rPr>
              <w:t> </w:t>
            </w:r>
          </w:p>
        </w:tc>
      </w:tr>
    </w:tbl>
    <w:p w:rsidR="00BC3DBF" w:rsidRPr="00D6667F" w:rsidRDefault="00BC3DBF" w:rsidP="00D6667F">
      <w:pPr>
        <w:pStyle w:val="ListParagraph"/>
        <w:ind w:left="-142"/>
        <w:jc w:val="left"/>
        <w:rPr>
          <w:b/>
          <w:sz w:val="24"/>
          <w:szCs w:val="24"/>
        </w:rPr>
      </w:pPr>
    </w:p>
    <w:sectPr w:rsidR="00BC3DBF" w:rsidRPr="00D6667F" w:rsidSect="00C82374">
      <w:pgSz w:w="15840" w:h="12240" w:orient="landscape"/>
      <w:pgMar w:top="1701" w:right="1134" w:bottom="1134" w:left="1134" w:header="76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CED"/>
    <w:multiLevelType w:val="hybridMultilevel"/>
    <w:tmpl w:val="C25A8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F32289"/>
    <w:multiLevelType w:val="hybridMultilevel"/>
    <w:tmpl w:val="6818EE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4502AE"/>
    <w:multiLevelType w:val="hybridMultilevel"/>
    <w:tmpl w:val="4126D7A4"/>
    <w:lvl w:ilvl="0" w:tplc="C4DA6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F6629F"/>
    <w:multiLevelType w:val="hybridMultilevel"/>
    <w:tmpl w:val="D6FC32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B16EB1"/>
    <w:multiLevelType w:val="hybridMultilevel"/>
    <w:tmpl w:val="ECDA06BC"/>
    <w:lvl w:ilvl="0" w:tplc="0409000F">
      <w:start w:val="1"/>
      <w:numFmt w:val="decimal"/>
      <w:lvlText w:val="%1."/>
      <w:lvlJc w:val="left"/>
      <w:pPr>
        <w:ind w:left="720" w:hanging="360"/>
      </w:pPr>
    </w:lvl>
    <w:lvl w:ilvl="1" w:tplc="CDF6F1B8">
      <w:start w:val="1"/>
      <w:numFmt w:val="decimal"/>
      <w:lvlText w:val="1.%2."/>
      <w:lvlJc w:val="left"/>
      <w:pPr>
        <w:ind w:left="1440" w:hanging="360"/>
      </w:pPr>
      <w:rPr>
        <w:rFonts w:ascii="Arial" w:hAnsi="Arial"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A3FCD"/>
    <w:multiLevelType w:val="hybridMultilevel"/>
    <w:tmpl w:val="D6FC32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5414E7"/>
    <w:multiLevelType w:val="hybridMultilevel"/>
    <w:tmpl w:val="40AC6BE0"/>
    <w:lvl w:ilvl="0" w:tplc="25A0E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F07C0A"/>
    <w:multiLevelType w:val="hybridMultilevel"/>
    <w:tmpl w:val="A420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2321E"/>
    <w:multiLevelType w:val="hybridMultilevel"/>
    <w:tmpl w:val="F7586BBE"/>
    <w:lvl w:ilvl="0" w:tplc="7CA896E2">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732EFD"/>
    <w:multiLevelType w:val="hybridMultilevel"/>
    <w:tmpl w:val="C36C9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F2224"/>
    <w:multiLevelType w:val="hybridMultilevel"/>
    <w:tmpl w:val="C25A8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0F1B99"/>
    <w:multiLevelType w:val="hybridMultilevel"/>
    <w:tmpl w:val="356CC008"/>
    <w:lvl w:ilvl="0" w:tplc="E71CC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D3611D"/>
    <w:multiLevelType w:val="hybridMultilevel"/>
    <w:tmpl w:val="D2C21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0E31B4"/>
    <w:multiLevelType w:val="hybridMultilevel"/>
    <w:tmpl w:val="4406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8416E"/>
    <w:multiLevelType w:val="hybridMultilevel"/>
    <w:tmpl w:val="C36C9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74377"/>
    <w:multiLevelType w:val="hybridMultilevel"/>
    <w:tmpl w:val="0EBEEB2A"/>
    <w:lvl w:ilvl="0" w:tplc="DA9ADB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C7A19BA"/>
    <w:multiLevelType w:val="hybridMultilevel"/>
    <w:tmpl w:val="6818EE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9"/>
  </w:num>
  <w:num w:numId="4">
    <w:abstractNumId w:val="13"/>
  </w:num>
  <w:num w:numId="5">
    <w:abstractNumId w:val="0"/>
  </w:num>
  <w:num w:numId="6">
    <w:abstractNumId w:val="10"/>
  </w:num>
  <w:num w:numId="7">
    <w:abstractNumId w:val="14"/>
  </w:num>
  <w:num w:numId="8">
    <w:abstractNumId w:val="12"/>
  </w:num>
  <w:num w:numId="9">
    <w:abstractNumId w:val="5"/>
  </w:num>
  <w:num w:numId="10">
    <w:abstractNumId w:val="3"/>
  </w:num>
  <w:num w:numId="11">
    <w:abstractNumId w:val="6"/>
  </w:num>
  <w:num w:numId="12">
    <w:abstractNumId w:val="11"/>
  </w:num>
  <w:num w:numId="13">
    <w:abstractNumId w:val="2"/>
  </w:num>
  <w:num w:numId="14">
    <w:abstractNumId w:val="15"/>
  </w:num>
  <w:num w:numId="15">
    <w:abstractNumId w:val="8"/>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E68"/>
    <w:rsid w:val="00014E68"/>
    <w:rsid w:val="00556262"/>
    <w:rsid w:val="006C16E4"/>
    <w:rsid w:val="007B7348"/>
    <w:rsid w:val="007C1A48"/>
    <w:rsid w:val="007F00D6"/>
    <w:rsid w:val="008B5D2A"/>
    <w:rsid w:val="008B7547"/>
    <w:rsid w:val="00997DD7"/>
    <w:rsid w:val="00A128CE"/>
    <w:rsid w:val="00AA1D17"/>
    <w:rsid w:val="00AD6A8A"/>
    <w:rsid w:val="00BC3DBF"/>
    <w:rsid w:val="00C077CD"/>
    <w:rsid w:val="00C82374"/>
    <w:rsid w:val="00D6667F"/>
    <w:rsid w:val="00D86FB3"/>
    <w:rsid w:val="00E17859"/>
    <w:rsid w:val="00EC204C"/>
    <w:rsid w:val="00F955B6"/>
    <w:rsid w:val="00FD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9450"/>
  <w15:chartTrackingRefBased/>
  <w15:docId w15:val="{9AACEB51-22BE-4DAF-AF93-CACAA3BE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D7"/>
    <w:pPr>
      <w:spacing w:after="0" w:line="240" w:lineRule="auto"/>
      <w:ind w:left="720"/>
      <w:contextualSpacing/>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13918">
      <w:bodyDiv w:val="1"/>
      <w:marLeft w:val="0"/>
      <w:marRight w:val="0"/>
      <w:marTop w:val="0"/>
      <w:marBottom w:val="0"/>
      <w:divBdr>
        <w:top w:val="none" w:sz="0" w:space="0" w:color="auto"/>
        <w:left w:val="none" w:sz="0" w:space="0" w:color="auto"/>
        <w:bottom w:val="none" w:sz="0" w:space="0" w:color="auto"/>
        <w:right w:val="none" w:sz="0" w:space="0" w:color="auto"/>
      </w:divBdr>
    </w:div>
    <w:div w:id="151259302">
      <w:bodyDiv w:val="1"/>
      <w:marLeft w:val="0"/>
      <w:marRight w:val="0"/>
      <w:marTop w:val="0"/>
      <w:marBottom w:val="0"/>
      <w:divBdr>
        <w:top w:val="none" w:sz="0" w:space="0" w:color="auto"/>
        <w:left w:val="none" w:sz="0" w:space="0" w:color="auto"/>
        <w:bottom w:val="none" w:sz="0" w:space="0" w:color="auto"/>
        <w:right w:val="none" w:sz="0" w:space="0" w:color="auto"/>
      </w:divBdr>
    </w:div>
    <w:div w:id="555581418">
      <w:bodyDiv w:val="1"/>
      <w:marLeft w:val="0"/>
      <w:marRight w:val="0"/>
      <w:marTop w:val="0"/>
      <w:marBottom w:val="0"/>
      <w:divBdr>
        <w:top w:val="none" w:sz="0" w:space="0" w:color="auto"/>
        <w:left w:val="none" w:sz="0" w:space="0" w:color="auto"/>
        <w:bottom w:val="none" w:sz="0" w:space="0" w:color="auto"/>
        <w:right w:val="none" w:sz="0" w:space="0" w:color="auto"/>
      </w:divBdr>
    </w:div>
    <w:div w:id="627274167">
      <w:bodyDiv w:val="1"/>
      <w:marLeft w:val="0"/>
      <w:marRight w:val="0"/>
      <w:marTop w:val="0"/>
      <w:marBottom w:val="0"/>
      <w:divBdr>
        <w:top w:val="none" w:sz="0" w:space="0" w:color="auto"/>
        <w:left w:val="none" w:sz="0" w:space="0" w:color="auto"/>
        <w:bottom w:val="none" w:sz="0" w:space="0" w:color="auto"/>
        <w:right w:val="none" w:sz="0" w:space="0" w:color="auto"/>
      </w:divBdr>
    </w:div>
    <w:div w:id="637762095">
      <w:bodyDiv w:val="1"/>
      <w:marLeft w:val="0"/>
      <w:marRight w:val="0"/>
      <w:marTop w:val="0"/>
      <w:marBottom w:val="0"/>
      <w:divBdr>
        <w:top w:val="none" w:sz="0" w:space="0" w:color="auto"/>
        <w:left w:val="none" w:sz="0" w:space="0" w:color="auto"/>
        <w:bottom w:val="none" w:sz="0" w:space="0" w:color="auto"/>
        <w:right w:val="none" w:sz="0" w:space="0" w:color="auto"/>
      </w:divBdr>
    </w:div>
    <w:div w:id="777721432">
      <w:bodyDiv w:val="1"/>
      <w:marLeft w:val="0"/>
      <w:marRight w:val="0"/>
      <w:marTop w:val="0"/>
      <w:marBottom w:val="0"/>
      <w:divBdr>
        <w:top w:val="none" w:sz="0" w:space="0" w:color="auto"/>
        <w:left w:val="none" w:sz="0" w:space="0" w:color="auto"/>
        <w:bottom w:val="none" w:sz="0" w:space="0" w:color="auto"/>
        <w:right w:val="none" w:sz="0" w:space="0" w:color="auto"/>
      </w:divBdr>
    </w:div>
    <w:div w:id="1008018371">
      <w:bodyDiv w:val="1"/>
      <w:marLeft w:val="0"/>
      <w:marRight w:val="0"/>
      <w:marTop w:val="0"/>
      <w:marBottom w:val="0"/>
      <w:divBdr>
        <w:top w:val="none" w:sz="0" w:space="0" w:color="auto"/>
        <w:left w:val="none" w:sz="0" w:space="0" w:color="auto"/>
        <w:bottom w:val="none" w:sz="0" w:space="0" w:color="auto"/>
        <w:right w:val="none" w:sz="0" w:space="0" w:color="auto"/>
      </w:divBdr>
    </w:div>
    <w:div w:id="1190148375">
      <w:bodyDiv w:val="1"/>
      <w:marLeft w:val="0"/>
      <w:marRight w:val="0"/>
      <w:marTop w:val="0"/>
      <w:marBottom w:val="0"/>
      <w:divBdr>
        <w:top w:val="none" w:sz="0" w:space="0" w:color="auto"/>
        <w:left w:val="none" w:sz="0" w:space="0" w:color="auto"/>
        <w:bottom w:val="none" w:sz="0" w:space="0" w:color="auto"/>
        <w:right w:val="none" w:sz="0" w:space="0" w:color="auto"/>
      </w:divBdr>
    </w:div>
    <w:div w:id="1225490239">
      <w:bodyDiv w:val="1"/>
      <w:marLeft w:val="0"/>
      <w:marRight w:val="0"/>
      <w:marTop w:val="0"/>
      <w:marBottom w:val="0"/>
      <w:divBdr>
        <w:top w:val="none" w:sz="0" w:space="0" w:color="auto"/>
        <w:left w:val="none" w:sz="0" w:space="0" w:color="auto"/>
        <w:bottom w:val="none" w:sz="0" w:space="0" w:color="auto"/>
        <w:right w:val="none" w:sz="0" w:space="0" w:color="auto"/>
      </w:divBdr>
    </w:div>
    <w:div w:id="1325743011">
      <w:bodyDiv w:val="1"/>
      <w:marLeft w:val="0"/>
      <w:marRight w:val="0"/>
      <w:marTop w:val="0"/>
      <w:marBottom w:val="0"/>
      <w:divBdr>
        <w:top w:val="none" w:sz="0" w:space="0" w:color="auto"/>
        <w:left w:val="none" w:sz="0" w:space="0" w:color="auto"/>
        <w:bottom w:val="none" w:sz="0" w:space="0" w:color="auto"/>
        <w:right w:val="none" w:sz="0" w:space="0" w:color="auto"/>
      </w:divBdr>
    </w:div>
    <w:div w:id="1446726763">
      <w:bodyDiv w:val="1"/>
      <w:marLeft w:val="0"/>
      <w:marRight w:val="0"/>
      <w:marTop w:val="0"/>
      <w:marBottom w:val="0"/>
      <w:divBdr>
        <w:top w:val="none" w:sz="0" w:space="0" w:color="auto"/>
        <w:left w:val="none" w:sz="0" w:space="0" w:color="auto"/>
        <w:bottom w:val="none" w:sz="0" w:space="0" w:color="auto"/>
        <w:right w:val="none" w:sz="0" w:space="0" w:color="auto"/>
      </w:divBdr>
    </w:div>
    <w:div w:id="1499342241">
      <w:bodyDiv w:val="1"/>
      <w:marLeft w:val="0"/>
      <w:marRight w:val="0"/>
      <w:marTop w:val="0"/>
      <w:marBottom w:val="0"/>
      <w:divBdr>
        <w:top w:val="none" w:sz="0" w:space="0" w:color="auto"/>
        <w:left w:val="none" w:sz="0" w:space="0" w:color="auto"/>
        <w:bottom w:val="none" w:sz="0" w:space="0" w:color="auto"/>
        <w:right w:val="none" w:sz="0" w:space="0" w:color="auto"/>
      </w:divBdr>
    </w:div>
    <w:div w:id="1593079344">
      <w:bodyDiv w:val="1"/>
      <w:marLeft w:val="0"/>
      <w:marRight w:val="0"/>
      <w:marTop w:val="0"/>
      <w:marBottom w:val="0"/>
      <w:divBdr>
        <w:top w:val="none" w:sz="0" w:space="0" w:color="auto"/>
        <w:left w:val="none" w:sz="0" w:space="0" w:color="auto"/>
        <w:bottom w:val="none" w:sz="0" w:space="0" w:color="auto"/>
        <w:right w:val="none" w:sz="0" w:space="0" w:color="auto"/>
      </w:divBdr>
    </w:div>
    <w:div w:id="1790204819">
      <w:bodyDiv w:val="1"/>
      <w:marLeft w:val="0"/>
      <w:marRight w:val="0"/>
      <w:marTop w:val="0"/>
      <w:marBottom w:val="0"/>
      <w:divBdr>
        <w:top w:val="none" w:sz="0" w:space="0" w:color="auto"/>
        <w:left w:val="none" w:sz="0" w:space="0" w:color="auto"/>
        <w:bottom w:val="none" w:sz="0" w:space="0" w:color="auto"/>
        <w:right w:val="none" w:sz="0" w:space="0" w:color="auto"/>
      </w:divBdr>
    </w:div>
    <w:div w:id="20724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MAUDINA</dc:creator>
  <cp:keywords/>
  <dc:description/>
  <cp:lastModifiedBy>MAUDINA</cp:lastModifiedBy>
  <cp:revision>3</cp:revision>
  <dcterms:created xsi:type="dcterms:W3CDTF">2024-06-24T04:23:00Z</dcterms:created>
  <dcterms:modified xsi:type="dcterms:W3CDTF">2024-06-24T04:40:00Z</dcterms:modified>
</cp:coreProperties>
</file>