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170E0E71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8A1EDA7" w14:textId="77777777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3726EB6C" w14:textId="77777777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</w:t>
            </w:r>
            <w:r w:rsidR="00A06943">
              <w:rPr>
                <w:rFonts w:ascii="Souvenir Lt BT" w:hAnsi="Souvenir Lt BT"/>
              </w:rPr>
              <w:t xml:space="preserve"> </w:t>
            </w:r>
            <w:r>
              <w:rPr>
                <w:rFonts w:ascii="Souvenir Lt BT" w:hAnsi="Souvenir Lt BT"/>
              </w:rPr>
              <w:t>/</w:t>
            </w:r>
            <w:r w:rsidR="00A06943">
              <w:rPr>
                <w:rFonts w:ascii="Souvenir Lt BT" w:hAnsi="Souvenir Lt BT"/>
              </w:rPr>
              <w:t xml:space="preserve"> </w:t>
            </w:r>
            <w:r>
              <w:rPr>
                <w:rFonts w:ascii="Souvenir Lt BT" w:hAnsi="Souvenir Lt BT"/>
              </w:rPr>
              <w:t>/</w:t>
            </w:r>
          </w:p>
          <w:p w14:paraId="6B2265AC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1A376B7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B9CD32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CD53A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:rsidRPr="007C22F3" w14:paraId="7DAD82C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E85FE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7474BE5" w14:textId="77777777" w:rsidR="00154A5A" w:rsidRDefault="00154A5A" w:rsidP="00A06943">
            <w:pPr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05377C3E" w14:textId="77777777" w:rsidR="00A06943" w:rsidRPr="00154A5A" w:rsidRDefault="00154A5A" w:rsidP="00154A5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Departemen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SCM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sudah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menentukan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pada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Sasaran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Mutunya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yaitu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realisasi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anggaran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bahan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baku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dan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anggaran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subkontraktor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yang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terlihat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di Balance Score Card.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Mereka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sudah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memantau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dan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mengukur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="00000BD3">
              <w:rPr>
                <w:rFonts w:ascii="Arial Narrow" w:hAnsi="Arial Narrow"/>
                <w:iCs/>
                <w:sz w:val="22"/>
                <w:szCs w:val="22"/>
              </w:rPr>
              <w:t xml:space="preserve">target </w:t>
            </w:r>
            <w:proofErr w:type="spellStart"/>
            <w:r w:rsidR="00000BD3">
              <w:rPr>
                <w:rFonts w:ascii="Arial Narrow" w:hAnsi="Arial Narrow"/>
                <w:iCs/>
                <w:sz w:val="22"/>
                <w:szCs w:val="22"/>
              </w:rPr>
              <w:t>tersebut</w:t>
            </w:r>
            <w:proofErr w:type="spellEnd"/>
            <w:r w:rsidR="00000BD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="00000BD3">
              <w:rPr>
                <w:rFonts w:ascii="Arial Narrow" w:hAnsi="Arial Narrow"/>
                <w:iCs/>
                <w:sz w:val="22"/>
                <w:szCs w:val="22"/>
              </w:rPr>
              <w:t>setiap</w:t>
            </w:r>
            <w:proofErr w:type="spellEnd"/>
            <w:r w:rsidR="00000BD3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="00000BD3">
              <w:rPr>
                <w:rFonts w:ascii="Arial Narrow" w:hAnsi="Arial Narrow"/>
                <w:iCs/>
                <w:sz w:val="22"/>
                <w:szCs w:val="22"/>
              </w:rPr>
              <w:t>bulannya</w:t>
            </w:r>
            <w:proofErr w:type="spellEnd"/>
            <w:r w:rsidR="00000BD3">
              <w:rPr>
                <w:rFonts w:ascii="Arial Narrow" w:hAnsi="Arial Narrow"/>
                <w:iCs/>
                <w:sz w:val="22"/>
                <w:szCs w:val="22"/>
              </w:rPr>
              <w:t>,</w:t>
            </w:r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="00000BD3">
              <w:rPr>
                <w:rFonts w:ascii="Arial Narrow" w:hAnsi="Arial Narrow"/>
                <w:iCs/>
                <w:sz w:val="22"/>
                <w:szCs w:val="22"/>
              </w:rPr>
              <w:t>namun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tidak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memisahkan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pemantauan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hasil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yang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dicapai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="00D37194">
              <w:rPr>
                <w:rFonts w:ascii="Arial Narrow" w:hAnsi="Arial Narrow"/>
                <w:iCs/>
                <w:sz w:val="22"/>
                <w:szCs w:val="22"/>
              </w:rPr>
              <w:t>antara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bahan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mentah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dan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subkon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,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sebagaimana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mereka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memisahkan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dalam</w:t>
            </w:r>
            <w:proofErr w:type="spellEnd"/>
            <w:r w:rsidRPr="00154A5A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154A5A">
              <w:rPr>
                <w:rFonts w:ascii="Arial Narrow" w:hAnsi="Arial Narrow"/>
                <w:iCs/>
                <w:sz w:val="22"/>
                <w:szCs w:val="22"/>
              </w:rPr>
              <w:t>targetnya</w:t>
            </w:r>
            <w:proofErr w:type="spellEnd"/>
          </w:p>
          <w:p w14:paraId="3CA6074D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872F854" w14:textId="77777777" w:rsidR="005E3FF4" w:rsidRPr="007C22F3" w:rsidRDefault="00B840AC">
            <w:pPr>
              <w:rPr>
                <w:rFonts w:ascii="Arial Narrow" w:hAnsi="Arial Narrow"/>
                <w:sz w:val="22"/>
                <w:lang w:val="de-DE"/>
              </w:rPr>
            </w:pPr>
            <w:r w:rsidRPr="007C22F3">
              <w:rPr>
                <w:rFonts w:ascii="Arial Narrow" w:hAnsi="Arial Narrow"/>
                <w:sz w:val="22"/>
                <w:lang w:val="de-DE"/>
              </w:rPr>
              <w:t>( Jika</w:t>
            </w:r>
            <w:r w:rsidR="00EA4DAB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>perlu</w:t>
            </w:r>
            <w:r w:rsidR="00EA4DAB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>dapat</w:t>
            </w:r>
            <w:r w:rsidR="00EA4DAB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>dilanjutkan</w:t>
            </w:r>
            <w:r w:rsidR="00EA4DAB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>pada</w:t>
            </w:r>
            <w:r w:rsidR="00EA4DAB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 xml:space="preserve">kertas lain ) </w:t>
            </w:r>
          </w:p>
        </w:tc>
      </w:tr>
      <w:tr w:rsidR="005E3FF4" w14:paraId="434A2F6A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264E" w14:textId="77777777" w:rsidR="005E3FF4" w:rsidRDefault="00B840AC" w:rsidP="00D3719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07FD8" w:rsidRPr="00C07FD8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="00C07FD8" w:rsidRPr="00C07FD8">
              <w:rPr>
                <w:rFonts w:ascii="Arial Narrow" w:hAnsi="Arial Narrow"/>
                <w:i/>
                <w:sz w:val="22"/>
              </w:rPr>
              <w:t xml:space="preserve"> </w:t>
            </w:r>
            <w:r w:rsidR="00D37194">
              <w:rPr>
                <w:rFonts w:ascii="Arial Narrow" w:hAnsi="Arial Narrow"/>
                <w:i/>
                <w:sz w:val="22"/>
              </w:rPr>
              <w:t xml:space="preserve">6.2 </w:t>
            </w:r>
            <w:proofErr w:type="spellStart"/>
            <w:r w:rsidR="00D37194">
              <w:rPr>
                <w:rFonts w:ascii="Arial Narrow" w:hAnsi="Arial Narrow"/>
                <w:i/>
                <w:sz w:val="22"/>
              </w:rPr>
              <w:t>Sasaran</w:t>
            </w:r>
            <w:proofErr w:type="spellEnd"/>
            <w:r w:rsidR="00D37194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D37194">
              <w:rPr>
                <w:rFonts w:ascii="Arial Narrow" w:hAnsi="Arial Narrow"/>
                <w:i/>
                <w:sz w:val="22"/>
              </w:rPr>
              <w:t>Mutu</w:t>
            </w:r>
            <w:proofErr w:type="spellEnd"/>
            <w:r w:rsidR="00D37194"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 w:rsidR="00D37194">
              <w:rPr>
                <w:rFonts w:ascii="Arial Narrow" w:hAnsi="Arial Narrow"/>
                <w:i/>
                <w:sz w:val="22"/>
              </w:rPr>
              <w:t>Rencana</w:t>
            </w:r>
            <w:proofErr w:type="spellEnd"/>
            <w:r w:rsidR="00D37194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D37194">
              <w:rPr>
                <w:rFonts w:ascii="Arial Narrow" w:hAnsi="Arial Narrow"/>
                <w:i/>
                <w:sz w:val="22"/>
              </w:rPr>
              <w:t>Pencapaian</w:t>
            </w:r>
            <w:proofErr w:type="spellEnd"/>
            <w:r w:rsidR="00D37194">
              <w:rPr>
                <w:rFonts w:ascii="Arial Narrow" w:hAnsi="Arial Narrow"/>
                <w:i/>
                <w:sz w:val="22"/>
              </w:rPr>
              <w:t xml:space="preserve"> </w:t>
            </w:r>
            <w:r w:rsidRPr="00E658EC"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5E3FF4" w14:paraId="633EFCA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9CE60" w14:textId="77777777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06943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AF5A3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A06943">
              <w:rPr>
                <w:rFonts w:ascii="Arial Narrow" w:hAnsi="Arial Narrow"/>
                <w:b/>
                <w:strike/>
                <w:sz w:val="22"/>
              </w:rPr>
              <w:t>/</w:t>
            </w:r>
            <w:r w:rsidR="00EA4DAB" w:rsidRPr="00A06943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A06943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A06943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 w14:paraId="37D6BDB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AE2E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 w14:paraId="641FB6E0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87590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502F79E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DE24E3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DDFDB25" w14:textId="77777777" w:rsidR="005E3FF4" w:rsidRDefault="006553D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25-27 July 2023</w:t>
            </w:r>
          </w:p>
          <w:p w14:paraId="5FE6C64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3514F3C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159888A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2D7E4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6628EA" w14:textId="77777777" w:rsidR="005E3FF4" w:rsidRDefault="006553D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Manung </w:t>
            </w:r>
            <w:proofErr w:type="spellStart"/>
            <w:r>
              <w:rPr>
                <w:rFonts w:ascii="Arial Narrow" w:hAnsi="Arial Narrow"/>
                <w:sz w:val="22"/>
              </w:rPr>
              <w:t>Suranto</w:t>
            </w:r>
            <w:proofErr w:type="spellEnd"/>
          </w:p>
          <w:p w14:paraId="6D3C832E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4581645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FF21A6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5EC4E0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7AC74C" w14:textId="77777777" w:rsidR="005E3FF4" w:rsidRDefault="001B4F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  <w:r w:rsidR="00A06943">
              <w:rPr>
                <w:rFonts w:ascii="Arial Narrow" w:hAnsi="Arial Narrow"/>
                <w:sz w:val="22"/>
              </w:rPr>
              <w:t xml:space="preserve"> URS</w:t>
            </w:r>
          </w:p>
          <w:p w14:paraId="323C9D81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5A73311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02FD172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582C6D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12604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042C2E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 w14:paraId="3430D9F0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7AB3C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2DA11DBB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5AE6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C07FD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09AACBA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E6720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2C70872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89BE4BD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A31314" w14:textId="77777777" w:rsidR="005E3FF4" w:rsidRDefault="006553DB" w:rsidP="006A6097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6A6097">
              <w:rPr>
                <w:rFonts w:ascii="Arial Narrow" w:hAnsi="Arial Narrow"/>
                <w:sz w:val="22"/>
              </w:rPr>
              <w:t xml:space="preserve"> </w:t>
            </w:r>
            <w:r w:rsidR="00275B41">
              <w:rPr>
                <w:rFonts w:ascii="Arial Narrow" w:hAnsi="Arial Narrow"/>
                <w:sz w:val="22"/>
              </w:rPr>
              <w:t>Anita Nita</w:t>
            </w:r>
          </w:p>
          <w:p w14:paraId="5E1FE01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07E5066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833B020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1F8AE7D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C4ADCC8" w14:textId="77777777" w:rsidR="005E3FF4" w:rsidRDefault="00154A5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0F04C9BD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45BC0C7C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A37CD0F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9C29463" w14:textId="097DC058" w:rsidR="005E3FF4" w:rsidRDefault="00336314">
            <w:pPr>
              <w:jc w:val="center"/>
              <w:rPr>
                <w:rFonts w:ascii="Arial Narrow" w:hAnsi="Arial Narrow"/>
                <w:sz w:val="22"/>
              </w:rPr>
            </w:pPr>
            <w:r w:rsidRPr="00336314"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58752" behindDoc="0" locked="0" layoutInCell="1" allowOverlap="1" wp14:anchorId="65C5E549" wp14:editId="5FBBC16B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83820</wp:posOffset>
                  </wp:positionV>
                  <wp:extent cx="882650" cy="320108"/>
                  <wp:effectExtent l="0" t="0" r="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20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C36EEF" w14:textId="002AEAC9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839FE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:rsidRPr="007C22F3" w14:paraId="3312F460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11172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 w:rsidR="001E15E6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D670CE5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56675C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6C1ED54" w14:textId="0C3F3EFD" w:rsidR="005E3FF4" w:rsidRDefault="00D3599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Hasil </w:t>
            </w:r>
            <w:proofErr w:type="spellStart"/>
            <w:r>
              <w:rPr>
                <w:rFonts w:ascii="Arial Narrow" w:hAnsi="Arial Narrow"/>
                <w:sz w:val="22"/>
              </w:rPr>
              <w:t>yg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didapatkan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bag. Accounting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disatukan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dipisahkan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58BA574D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9DB455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C00BB02" w14:textId="77777777" w:rsidR="005E3FF4" w:rsidRPr="007C22F3" w:rsidRDefault="00B840AC">
            <w:pPr>
              <w:rPr>
                <w:rFonts w:ascii="Arial Narrow" w:hAnsi="Arial Narrow"/>
                <w:sz w:val="22"/>
                <w:lang w:val="de-DE"/>
              </w:rPr>
            </w:pPr>
            <w:r w:rsidRPr="007C22F3">
              <w:rPr>
                <w:rFonts w:ascii="Arial Narrow" w:hAnsi="Arial Narrow"/>
                <w:sz w:val="22"/>
                <w:lang w:val="de-DE"/>
              </w:rPr>
              <w:t>( Jika</w:t>
            </w:r>
            <w:r w:rsidR="00616740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>perlu</w:t>
            </w:r>
            <w:r w:rsidR="00616740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>dapat</w:t>
            </w:r>
            <w:r w:rsidR="00616740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>dilanjutkan</w:t>
            </w:r>
            <w:r w:rsidR="00616740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>pada</w:t>
            </w:r>
            <w:r w:rsidR="00616740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>kertas lain )</w:t>
            </w:r>
          </w:p>
        </w:tc>
      </w:tr>
      <w:tr w:rsidR="005E3FF4" w:rsidRPr="007C22F3" w14:paraId="1DB18A11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5C6A3" w14:textId="77777777" w:rsidR="005E3FF4" w:rsidRPr="007C22F3" w:rsidRDefault="00B840AC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7C22F3">
              <w:rPr>
                <w:rFonts w:ascii="Arial Narrow" w:hAnsi="Arial Narrow"/>
                <w:sz w:val="22"/>
                <w:lang w:val="de-DE"/>
              </w:rPr>
              <w:t>B3. Rencana</w:t>
            </w:r>
            <w:r w:rsidR="00EA4DAB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>tindakan</w:t>
            </w:r>
            <w:r w:rsidR="00EA4DAB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>perbaikan</w:t>
            </w:r>
            <w:r w:rsidR="00EA4DAB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>yang akan</w:t>
            </w:r>
            <w:r w:rsidR="00EA4DAB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>dilakukan :</w:t>
            </w:r>
          </w:p>
          <w:p w14:paraId="1F124B29" w14:textId="77777777" w:rsidR="005E3FF4" w:rsidRPr="007C22F3" w:rsidRDefault="005E3FF4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1BDA25C2" w14:textId="6C0CFC31" w:rsidR="005E3FF4" w:rsidRPr="007C22F3" w:rsidRDefault="00D35991">
            <w:pPr>
              <w:rPr>
                <w:rFonts w:ascii="Arial Narrow" w:hAnsi="Arial Narrow"/>
                <w:sz w:val="22"/>
                <w:lang w:val="de-DE"/>
              </w:rPr>
            </w:pPr>
            <w:r w:rsidRPr="007C22F3">
              <w:rPr>
                <w:rFonts w:ascii="Arial Narrow" w:hAnsi="Arial Narrow"/>
                <w:sz w:val="22"/>
                <w:lang w:val="de-DE"/>
              </w:rPr>
              <w:t xml:space="preserve">     </w:t>
            </w:r>
          </w:p>
          <w:p w14:paraId="1AE7505B" w14:textId="12C59790" w:rsidR="005E3FF4" w:rsidRPr="007C22F3" w:rsidRDefault="00D35991">
            <w:pPr>
              <w:rPr>
                <w:rFonts w:ascii="Arial Narrow" w:hAnsi="Arial Narrow"/>
                <w:sz w:val="22"/>
                <w:lang w:val="de-DE"/>
              </w:rPr>
            </w:pPr>
            <w:r w:rsidRPr="007C22F3">
              <w:rPr>
                <w:rFonts w:ascii="Arial Narrow" w:hAnsi="Arial Narrow"/>
                <w:sz w:val="22"/>
                <w:lang w:val="de-DE"/>
              </w:rPr>
              <w:t xml:space="preserve">    Dari measurement KPI nya akan disatukan menjadi biaya bahan baku dan subkon terhadap nilai sales dari budget.</w:t>
            </w:r>
          </w:p>
          <w:p w14:paraId="743B0F62" w14:textId="77777777" w:rsidR="005E3FF4" w:rsidRPr="007C22F3" w:rsidRDefault="005E3FF4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18CA231B" w14:textId="77777777" w:rsidR="005E3FF4" w:rsidRPr="007C22F3" w:rsidRDefault="00B840AC">
            <w:pPr>
              <w:rPr>
                <w:rFonts w:ascii="Arial Narrow" w:hAnsi="Arial Narrow"/>
                <w:sz w:val="22"/>
                <w:lang w:val="de-DE"/>
              </w:rPr>
            </w:pPr>
            <w:r w:rsidRPr="007C22F3">
              <w:rPr>
                <w:rFonts w:ascii="Arial Narrow" w:hAnsi="Arial Narrow"/>
                <w:sz w:val="22"/>
                <w:lang w:val="de-DE"/>
              </w:rPr>
              <w:t>( Jika</w:t>
            </w:r>
            <w:r w:rsidR="00EA4DAB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>perlu</w:t>
            </w:r>
            <w:r w:rsidR="00EA4DAB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>dapat</w:t>
            </w:r>
            <w:r w:rsidR="00EA4DAB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>dilanjutkan</w:t>
            </w:r>
            <w:r w:rsidR="00EA4DAB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>pada</w:t>
            </w:r>
            <w:r w:rsidR="00EA4DAB" w:rsidRPr="007C22F3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7C22F3">
              <w:rPr>
                <w:rFonts w:ascii="Arial Narrow" w:hAnsi="Arial Narrow"/>
                <w:sz w:val="22"/>
                <w:lang w:val="de-DE"/>
              </w:rPr>
              <w:t>kertas lain )</w:t>
            </w:r>
          </w:p>
        </w:tc>
      </w:tr>
      <w:tr w:rsidR="005E3FF4" w14:paraId="1092845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A7E0D" w14:textId="10FC12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D35991">
              <w:rPr>
                <w:rFonts w:ascii="Arial Narrow" w:hAnsi="Arial Narrow"/>
                <w:sz w:val="22"/>
              </w:rPr>
              <w:t xml:space="preserve">9 </w:t>
            </w:r>
            <w:proofErr w:type="spellStart"/>
            <w:r w:rsidR="00D35991">
              <w:rPr>
                <w:rFonts w:ascii="Arial Narrow" w:hAnsi="Arial Narrow"/>
                <w:sz w:val="22"/>
              </w:rPr>
              <w:t>agustus</w:t>
            </w:r>
            <w:proofErr w:type="spellEnd"/>
            <w:r w:rsidR="00D35991">
              <w:rPr>
                <w:rFonts w:ascii="Arial Narrow" w:hAnsi="Arial Narrow"/>
                <w:sz w:val="22"/>
              </w:rPr>
              <w:t xml:space="preserve"> 2023</w:t>
            </w:r>
            <w:r>
              <w:rPr>
                <w:rFonts w:ascii="Arial Narrow" w:hAnsi="Arial Narrow"/>
                <w:sz w:val="22"/>
              </w:rPr>
              <w:t>……………………….</w:t>
            </w:r>
          </w:p>
        </w:tc>
      </w:tr>
      <w:tr w:rsidR="005E3FF4" w14:paraId="604B58B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488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54FFE38C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711E3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336314">
              <w:rPr>
                <w:rFonts w:ascii="Arial Narrow" w:hAnsi="Arial Narrow"/>
                <w:b/>
                <w:strike/>
                <w:sz w:val="22"/>
              </w:rPr>
              <w:t>TIDAK EFEKTIF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  <w:p w14:paraId="4F960E27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AA9BC18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CA1BAF5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38E4BD5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62C5AE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C9626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3D0DC8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EA8785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1E5B68" w14:textId="6627D6CE" w:rsidR="005E3FF4" w:rsidRDefault="0033631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15 </w:t>
            </w:r>
            <w:proofErr w:type="spellStart"/>
            <w:r>
              <w:rPr>
                <w:rFonts w:ascii="Arial Narrow" w:hAnsi="Arial Narrow"/>
                <w:sz w:val="22"/>
              </w:rPr>
              <w:t>Agustus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</w:t>
            </w:r>
          </w:p>
          <w:p w14:paraId="47A5738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14DFE9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82C22E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0438EB2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AC624E5" w14:textId="65C1704C" w:rsidR="005E3FF4" w:rsidRDefault="00336314" w:rsidP="0033631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 R.</w:t>
            </w:r>
          </w:p>
          <w:p w14:paraId="4E824420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67C5ED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C4FF2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21A6E96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114145" w14:textId="4384B692" w:rsidR="005E3FF4" w:rsidRDefault="0033631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3001A033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96B9DD7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0932EBA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9746571" w14:textId="4330E6B0" w:rsidR="005E3FF4" w:rsidRDefault="00336314">
            <w:pPr>
              <w:jc w:val="center"/>
              <w:rPr>
                <w:rFonts w:ascii="Arial Narrow" w:hAnsi="Arial Narrow"/>
                <w:sz w:val="22"/>
              </w:rPr>
            </w:pPr>
            <w:r w:rsidRPr="00336314"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57728" behindDoc="0" locked="0" layoutInCell="1" allowOverlap="1" wp14:anchorId="651B6573" wp14:editId="5C0B38B1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58420</wp:posOffset>
                  </wp:positionV>
                  <wp:extent cx="412750" cy="341586"/>
                  <wp:effectExtent l="0" t="0" r="6350" b="190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341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649205" w14:textId="106664AC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4287DB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1CC2CEDA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9469E6C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45385287" w14:textId="77777777" w:rsidR="005E3FF4" w:rsidRDefault="005E3FF4">
            <w:pPr>
              <w:snapToGrid w:val="0"/>
            </w:pPr>
          </w:p>
        </w:tc>
      </w:tr>
    </w:tbl>
    <w:p w14:paraId="78863172" w14:textId="77777777" w:rsidR="005E3FF4" w:rsidRDefault="005E3FF4"/>
    <w:p w14:paraId="4F23E1B7" w14:textId="77777777" w:rsidR="008D4F06" w:rsidRDefault="008D4F06"/>
    <w:sectPr w:rsidR="008D4F06" w:rsidSect="00724ECB">
      <w:headerReference w:type="default" r:id="rId9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80F1" w14:textId="77777777" w:rsidR="00864C26" w:rsidRDefault="00864C26">
      <w:r>
        <w:separator/>
      </w:r>
    </w:p>
  </w:endnote>
  <w:endnote w:type="continuationSeparator" w:id="0">
    <w:p w14:paraId="0910430E" w14:textId="77777777" w:rsidR="00864C26" w:rsidRDefault="0086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B958" w14:textId="77777777" w:rsidR="00864C26" w:rsidRDefault="00864C26">
      <w:r>
        <w:separator/>
      </w:r>
    </w:p>
  </w:footnote>
  <w:footnote w:type="continuationSeparator" w:id="0">
    <w:p w14:paraId="37DE8C68" w14:textId="77777777" w:rsidR="00864C26" w:rsidRDefault="00864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15ED3" w14:textId="77777777" w:rsidR="00B9124D" w:rsidRPr="00B9546D" w:rsidRDefault="00B9124D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7CC7007C" wp14:editId="796A859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2ACFA3B3" w14:textId="77777777" w:rsidR="00EB7246" w:rsidRDefault="00B9124D" w:rsidP="00EB7246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7AC7E074" w14:textId="77777777" w:rsidR="00B9124D" w:rsidRDefault="00B9124D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60FAC334" w14:textId="77777777" w:rsidR="00B9124D" w:rsidRDefault="00B9124D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693C51B" wp14:editId="6DFD48CA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1D827D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63"/>
    <w:rsid w:val="00000BD3"/>
    <w:rsid w:val="00012721"/>
    <w:rsid w:val="00036D87"/>
    <w:rsid w:val="00041913"/>
    <w:rsid w:val="000613AE"/>
    <w:rsid w:val="000A3D85"/>
    <w:rsid w:val="000A6554"/>
    <w:rsid w:val="000C60B4"/>
    <w:rsid w:val="00154A5A"/>
    <w:rsid w:val="00172345"/>
    <w:rsid w:val="001B4FD9"/>
    <w:rsid w:val="001B592F"/>
    <w:rsid w:val="001E15E6"/>
    <w:rsid w:val="001E7A7D"/>
    <w:rsid w:val="001F1032"/>
    <w:rsid w:val="001F675B"/>
    <w:rsid w:val="00222495"/>
    <w:rsid w:val="002424FC"/>
    <w:rsid w:val="00245379"/>
    <w:rsid w:val="00275B41"/>
    <w:rsid w:val="00282D8E"/>
    <w:rsid w:val="002C2251"/>
    <w:rsid w:val="00336314"/>
    <w:rsid w:val="003C2814"/>
    <w:rsid w:val="003E5D5B"/>
    <w:rsid w:val="00410FA4"/>
    <w:rsid w:val="0042232A"/>
    <w:rsid w:val="004715EA"/>
    <w:rsid w:val="004A0B0B"/>
    <w:rsid w:val="004E1AF8"/>
    <w:rsid w:val="00503A63"/>
    <w:rsid w:val="0056332E"/>
    <w:rsid w:val="005838AD"/>
    <w:rsid w:val="005E3FF4"/>
    <w:rsid w:val="00616740"/>
    <w:rsid w:val="006553DB"/>
    <w:rsid w:val="00682ED2"/>
    <w:rsid w:val="006A25BA"/>
    <w:rsid w:val="006A6097"/>
    <w:rsid w:val="006B38FB"/>
    <w:rsid w:val="006D7AF7"/>
    <w:rsid w:val="00703029"/>
    <w:rsid w:val="00705A0C"/>
    <w:rsid w:val="00705D48"/>
    <w:rsid w:val="00714746"/>
    <w:rsid w:val="00724ECB"/>
    <w:rsid w:val="00780C72"/>
    <w:rsid w:val="0079145B"/>
    <w:rsid w:val="00794EA6"/>
    <w:rsid w:val="007C22F3"/>
    <w:rsid w:val="007F799D"/>
    <w:rsid w:val="008029F8"/>
    <w:rsid w:val="00864C26"/>
    <w:rsid w:val="008939CB"/>
    <w:rsid w:val="008A5841"/>
    <w:rsid w:val="008C234E"/>
    <w:rsid w:val="008D20C7"/>
    <w:rsid w:val="008D4F06"/>
    <w:rsid w:val="0093142F"/>
    <w:rsid w:val="00991CEF"/>
    <w:rsid w:val="009A662A"/>
    <w:rsid w:val="009D2732"/>
    <w:rsid w:val="00A04531"/>
    <w:rsid w:val="00A06943"/>
    <w:rsid w:val="00A3645E"/>
    <w:rsid w:val="00A377FC"/>
    <w:rsid w:val="00A63259"/>
    <w:rsid w:val="00A657DC"/>
    <w:rsid w:val="00A722B2"/>
    <w:rsid w:val="00AF5A38"/>
    <w:rsid w:val="00AF5D91"/>
    <w:rsid w:val="00B219F7"/>
    <w:rsid w:val="00B23C86"/>
    <w:rsid w:val="00B25C55"/>
    <w:rsid w:val="00B25F3E"/>
    <w:rsid w:val="00B414BE"/>
    <w:rsid w:val="00B42172"/>
    <w:rsid w:val="00B6569E"/>
    <w:rsid w:val="00B71123"/>
    <w:rsid w:val="00B840AC"/>
    <w:rsid w:val="00B9124D"/>
    <w:rsid w:val="00B9546D"/>
    <w:rsid w:val="00BA09A7"/>
    <w:rsid w:val="00BD5615"/>
    <w:rsid w:val="00BF3C8D"/>
    <w:rsid w:val="00C07FD8"/>
    <w:rsid w:val="00C15879"/>
    <w:rsid w:val="00C71566"/>
    <w:rsid w:val="00CF1BF6"/>
    <w:rsid w:val="00D07875"/>
    <w:rsid w:val="00D35991"/>
    <w:rsid w:val="00D37194"/>
    <w:rsid w:val="00DD4583"/>
    <w:rsid w:val="00DD772D"/>
    <w:rsid w:val="00DF3C3E"/>
    <w:rsid w:val="00E25D3D"/>
    <w:rsid w:val="00E375F3"/>
    <w:rsid w:val="00E658EC"/>
    <w:rsid w:val="00EA4DAB"/>
    <w:rsid w:val="00EB7246"/>
    <w:rsid w:val="00ED623B"/>
    <w:rsid w:val="00F41B37"/>
    <w:rsid w:val="00F51154"/>
    <w:rsid w:val="00F916FA"/>
    <w:rsid w:val="00FA3BFA"/>
    <w:rsid w:val="00FB211F"/>
    <w:rsid w:val="00FB55A8"/>
    <w:rsid w:val="00FB61BB"/>
    <w:rsid w:val="00FD51AF"/>
    <w:rsid w:val="00FF24C7"/>
    <w:rsid w:val="00FF3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5F41E45"/>
  <w15:docId w15:val="{DCDFDB9F-C8A6-4752-ABDA-36CAFA03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  TW</cp:lastModifiedBy>
  <cp:revision>10</cp:revision>
  <cp:lastPrinted>2023-05-16T05:54:00Z</cp:lastPrinted>
  <dcterms:created xsi:type="dcterms:W3CDTF">2023-08-04T01:07:00Z</dcterms:created>
  <dcterms:modified xsi:type="dcterms:W3CDTF">2024-05-20T03:49:00Z</dcterms:modified>
</cp:coreProperties>
</file>