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785" w:type="dxa"/>
        <w:jc w:val="center"/>
        <w:tblLook w:val="04A0" w:firstRow="1" w:lastRow="0" w:firstColumn="1" w:lastColumn="0" w:noHBand="0" w:noVBand="1"/>
      </w:tblPr>
      <w:tblGrid>
        <w:gridCol w:w="11785"/>
      </w:tblGrid>
      <w:tr w:rsidR="00EC5917" w14:paraId="2BA70392" w14:textId="77777777" w:rsidTr="00EC5917">
        <w:trPr>
          <w:trHeight w:val="1223"/>
          <w:jc w:val="center"/>
        </w:trPr>
        <w:tc>
          <w:tcPr>
            <w:tcW w:w="11785" w:type="dxa"/>
          </w:tcPr>
          <w:p w14:paraId="3FD95432" w14:textId="77777777" w:rsidR="00EC5917" w:rsidRDefault="00EC5917" w:rsidP="00EC5917"/>
          <w:p w14:paraId="7347F529" w14:textId="77777777" w:rsidR="00EC5917" w:rsidRPr="00EC5917" w:rsidRDefault="00EC5917" w:rsidP="00EC5917">
            <w:pPr>
              <w:jc w:val="center"/>
              <w:rPr>
                <w:b/>
              </w:rPr>
            </w:pPr>
            <w:r w:rsidRPr="00EC5917">
              <w:rPr>
                <w:b/>
              </w:rPr>
              <w:t>NOTULEN</w:t>
            </w:r>
          </w:p>
          <w:p w14:paraId="50536DC5" w14:textId="100275E1" w:rsidR="00EC5917" w:rsidRPr="00EC5917" w:rsidRDefault="00EC5917" w:rsidP="00EC5917">
            <w:pPr>
              <w:jc w:val="center"/>
              <w:rPr>
                <w:b/>
              </w:rPr>
            </w:pPr>
            <w:r w:rsidRPr="00EC5917">
              <w:rPr>
                <w:b/>
              </w:rPr>
              <w:t>RAPAT TINJAUAN MANAJEMEN LB - CDAKB 2025</w:t>
            </w:r>
          </w:p>
        </w:tc>
      </w:tr>
    </w:tbl>
    <w:p w14:paraId="044DF4F4" w14:textId="77777777" w:rsidR="00F37203" w:rsidRDefault="00F37203" w:rsidP="006450F5"/>
    <w:p w14:paraId="7BBC939A" w14:textId="286F5C46" w:rsidR="00EC5917" w:rsidRDefault="00EC5917" w:rsidP="002C23AF">
      <w:pPr>
        <w:spacing w:after="80" w:line="240" w:lineRule="auto"/>
        <w:ind w:left="-1170"/>
      </w:pPr>
      <w:r>
        <w:t xml:space="preserve">Hari, </w:t>
      </w:r>
      <w:proofErr w:type="spellStart"/>
      <w:r>
        <w:t>Tanggal</w:t>
      </w:r>
      <w:proofErr w:type="spellEnd"/>
      <w:r>
        <w:tab/>
        <w:t xml:space="preserve">: </w:t>
      </w:r>
      <w:r w:rsidR="00405DD4">
        <w:t xml:space="preserve"> </w:t>
      </w:r>
      <w:proofErr w:type="spellStart"/>
      <w:r>
        <w:t>Senin</w:t>
      </w:r>
      <w:proofErr w:type="spellEnd"/>
      <w:r>
        <w:t xml:space="preserve">, 16 </w:t>
      </w:r>
      <w:proofErr w:type="spellStart"/>
      <w:r>
        <w:t>Juni</w:t>
      </w:r>
      <w:proofErr w:type="spellEnd"/>
      <w:r>
        <w:t xml:space="preserve"> 2025</w:t>
      </w:r>
    </w:p>
    <w:p w14:paraId="217BA7B3" w14:textId="5333A7EB" w:rsidR="00EC5917" w:rsidRDefault="00EC5917" w:rsidP="002C23AF">
      <w:pPr>
        <w:spacing w:after="80" w:line="240" w:lineRule="auto"/>
        <w:ind w:left="-1170"/>
      </w:pPr>
      <w:r>
        <w:t>Waktu</w:t>
      </w:r>
      <w:r>
        <w:tab/>
      </w:r>
      <w:r>
        <w:tab/>
        <w:t xml:space="preserve">: </w:t>
      </w:r>
      <w:r w:rsidR="00405DD4">
        <w:t xml:space="preserve"> </w:t>
      </w:r>
      <w:proofErr w:type="spellStart"/>
      <w:r>
        <w:t>Pukul</w:t>
      </w:r>
      <w:proofErr w:type="spellEnd"/>
      <w:r>
        <w:t xml:space="preserve"> 15.00 s/d </w:t>
      </w:r>
      <w:proofErr w:type="spellStart"/>
      <w:r>
        <w:t>Selesai</w:t>
      </w:r>
      <w:proofErr w:type="spellEnd"/>
    </w:p>
    <w:p w14:paraId="66854A7B" w14:textId="7FBDCEF0" w:rsidR="00EC5917" w:rsidRDefault="00EC5917" w:rsidP="002C23AF">
      <w:pPr>
        <w:spacing w:after="80" w:line="240" w:lineRule="auto"/>
        <w:ind w:left="-1170"/>
      </w:pPr>
      <w:proofErr w:type="spellStart"/>
      <w:r>
        <w:t>Tempat</w:t>
      </w:r>
      <w:proofErr w:type="spellEnd"/>
      <w:r>
        <w:tab/>
      </w:r>
      <w:r>
        <w:tab/>
        <w:t xml:space="preserve">: </w:t>
      </w:r>
      <w:r w:rsidR="00405DD4">
        <w:t xml:space="preserve"> </w:t>
      </w:r>
      <w:r>
        <w:t xml:space="preserve">Ruang </w:t>
      </w:r>
      <w:proofErr w:type="spellStart"/>
      <w:r>
        <w:t>Daishogun</w:t>
      </w:r>
      <w:proofErr w:type="spellEnd"/>
      <w:r>
        <w:t xml:space="preserve"> – Chitose </w:t>
      </w:r>
      <w:proofErr w:type="spellStart"/>
      <w:r>
        <w:t>Industri</w:t>
      </w:r>
      <w:proofErr w:type="spellEnd"/>
    </w:p>
    <w:p w14:paraId="4A00C80C" w14:textId="65331E44" w:rsidR="007255AB" w:rsidRDefault="00EC5917" w:rsidP="006450F5">
      <w:pPr>
        <w:spacing w:after="80" w:line="240" w:lineRule="auto"/>
        <w:ind w:left="-1170"/>
      </w:pPr>
      <w:proofErr w:type="spellStart"/>
      <w:r>
        <w:t>Peserta</w:t>
      </w:r>
      <w:proofErr w:type="spellEnd"/>
      <w:r>
        <w:tab/>
      </w:r>
      <w:r>
        <w:tab/>
        <w:t xml:space="preserve">: </w:t>
      </w:r>
      <w:r w:rsidR="00405DD4">
        <w:t xml:space="preserve"> </w:t>
      </w:r>
      <w:r>
        <w:t xml:space="preserve">Daftar </w:t>
      </w:r>
      <w:proofErr w:type="spellStart"/>
      <w:r>
        <w:t>Terlampir</w:t>
      </w:r>
      <w:proofErr w:type="spellEnd"/>
    </w:p>
    <w:p w14:paraId="036C5F66" w14:textId="77777777" w:rsidR="007255AB" w:rsidRDefault="007255AB" w:rsidP="002C23AF">
      <w:pPr>
        <w:spacing w:line="240" w:lineRule="auto"/>
        <w:ind w:left="-1170"/>
      </w:pPr>
    </w:p>
    <w:p w14:paraId="300374F5" w14:textId="104F6F9D" w:rsidR="00EC5917" w:rsidRDefault="002C23AF" w:rsidP="002C23AF">
      <w:pPr>
        <w:spacing w:line="240" w:lineRule="auto"/>
        <w:ind w:left="-1170"/>
      </w:pPr>
      <w:r>
        <w:t xml:space="preserve">Agenda </w:t>
      </w:r>
      <w:proofErr w:type="spellStart"/>
      <w:r>
        <w:t>Rapat</w:t>
      </w:r>
      <w:proofErr w:type="spellEnd"/>
      <w:r>
        <w:tab/>
        <w:t xml:space="preserve">: </w:t>
      </w:r>
    </w:p>
    <w:p w14:paraId="7559427A" w14:textId="34CFFC07" w:rsidR="002C23AF" w:rsidRDefault="002C23AF" w:rsidP="006C0DF1">
      <w:pPr>
        <w:pStyle w:val="ListParagraph"/>
        <w:numPr>
          <w:ilvl w:val="0"/>
          <w:numId w:val="3"/>
        </w:numPr>
        <w:spacing w:after="0" w:line="360" w:lineRule="auto"/>
        <w:ind w:left="1350"/>
      </w:pPr>
      <w:proofErr w:type="spellStart"/>
      <w:r w:rsidRPr="002C23AF">
        <w:t>Tindak</w:t>
      </w:r>
      <w:proofErr w:type="spellEnd"/>
      <w:r w:rsidRPr="002C23AF">
        <w:t xml:space="preserve"> </w:t>
      </w:r>
      <w:proofErr w:type="spellStart"/>
      <w:r w:rsidRPr="002C23AF">
        <w:t>lanjut</w:t>
      </w:r>
      <w:proofErr w:type="spellEnd"/>
      <w:r w:rsidRPr="002C23AF">
        <w:t xml:space="preserve"> </w:t>
      </w:r>
      <w:proofErr w:type="spellStart"/>
      <w:r w:rsidRPr="002C23AF">
        <w:t>dari</w:t>
      </w:r>
      <w:proofErr w:type="spellEnd"/>
      <w:r w:rsidRPr="002C23AF">
        <w:t xml:space="preserve"> </w:t>
      </w:r>
      <w:proofErr w:type="spellStart"/>
      <w:r w:rsidRPr="002C23AF">
        <w:t>Rapat</w:t>
      </w:r>
      <w:proofErr w:type="spellEnd"/>
      <w:r w:rsidRPr="002C23AF">
        <w:t xml:space="preserve"> </w:t>
      </w:r>
      <w:proofErr w:type="spellStart"/>
      <w:r w:rsidRPr="002C23AF">
        <w:t>Tinjauan</w:t>
      </w:r>
      <w:proofErr w:type="spellEnd"/>
      <w:r w:rsidRPr="002C23AF">
        <w:t xml:space="preserve"> </w:t>
      </w:r>
      <w:proofErr w:type="spellStart"/>
      <w:r w:rsidRPr="002C23AF">
        <w:t>Manajemen</w:t>
      </w:r>
      <w:proofErr w:type="spellEnd"/>
      <w:r w:rsidRPr="002C23AF">
        <w:t xml:space="preserve"> </w:t>
      </w:r>
      <w:proofErr w:type="spellStart"/>
      <w:r w:rsidRPr="002C23AF">
        <w:t>Sebelumnya</w:t>
      </w:r>
      <w:proofErr w:type="spellEnd"/>
      <w:r w:rsidRPr="002C23AF">
        <w:t>;</w:t>
      </w:r>
    </w:p>
    <w:p w14:paraId="3AA87C0C" w14:textId="5F2E3AC2" w:rsidR="002C23AF" w:rsidRPr="002C23AF" w:rsidRDefault="002C23AF" w:rsidP="006C0DF1">
      <w:pPr>
        <w:pStyle w:val="ListParagraph"/>
        <w:numPr>
          <w:ilvl w:val="0"/>
          <w:numId w:val="3"/>
        </w:numPr>
        <w:spacing w:after="0" w:line="360" w:lineRule="auto"/>
        <w:ind w:left="1350"/>
      </w:pPr>
      <w:proofErr w:type="spellStart"/>
      <w:r w:rsidRPr="002C23AF">
        <w:t>Perubahan</w:t>
      </w:r>
      <w:proofErr w:type="spellEnd"/>
      <w:r w:rsidRPr="002C23AF">
        <w:t xml:space="preserve"> </w:t>
      </w:r>
      <w:proofErr w:type="spellStart"/>
      <w:r w:rsidRPr="002C23AF">
        <w:t>Isu</w:t>
      </w:r>
      <w:proofErr w:type="spellEnd"/>
      <w:r w:rsidRPr="002C23AF">
        <w:t xml:space="preserve"> Internal yang </w:t>
      </w:r>
      <w:proofErr w:type="spellStart"/>
      <w:r w:rsidRPr="002C23AF">
        <w:t>Relevan</w:t>
      </w:r>
      <w:proofErr w:type="spellEnd"/>
      <w:r w:rsidRPr="002C23AF">
        <w:t xml:space="preserve"> </w:t>
      </w:r>
      <w:proofErr w:type="spellStart"/>
      <w:r w:rsidRPr="002C23AF">
        <w:t>dengan</w:t>
      </w:r>
      <w:proofErr w:type="spellEnd"/>
      <w:r w:rsidRPr="002C23AF">
        <w:t xml:space="preserve"> </w:t>
      </w:r>
      <w:proofErr w:type="spellStart"/>
      <w:r w:rsidRPr="002C23AF">
        <w:t>Sistem</w:t>
      </w:r>
      <w:proofErr w:type="spellEnd"/>
      <w:r w:rsidRPr="002C23AF">
        <w:t xml:space="preserve"> </w:t>
      </w:r>
      <w:proofErr w:type="spellStart"/>
      <w:r w:rsidRPr="002C23AF">
        <w:t>Manajemen</w:t>
      </w:r>
      <w:proofErr w:type="spellEnd"/>
      <w:r>
        <w:t>;</w:t>
      </w:r>
    </w:p>
    <w:p w14:paraId="05C972BD" w14:textId="77777777" w:rsidR="002C23AF" w:rsidRDefault="002C23AF" w:rsidP="006C0DF1">
      <w:pPr>
        <w:pStyle w:val="ListParagraph"/>
        <w:numPr>
          <w:ilvl w:val="0"/>
          <w:numId w:val="3"/>
        </w:numPr>
        <w:spacing w:after="0" w:line="360" w:lineRule="auto"/>
        <w:ind w:left="1350"/>
      </w:pPr>
      <w:proofErr w:type="spellStart"/>
      <w:r>
        <w:t>Informasi</w:t>
      </w:r>
      <w:proofErr w:type="spellEnd"/>
      <w:r>
        <w:t xml:space="preserve"> Kinerja dan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r>
        <w:t>;</w:t>
      </w:r>
      <w:proofErr w:type="spellEnd"/>
    </w:p>
    <w:p w14:paraId="68B047AC" w14:textId="77777777" w:rsidR="002C23AF" w:rsidRDefault="002C23AF" w:rsidP="006C0DF1">
      <w:pPr>
        <w:pStyle w:val="ListParagraph"/>
        <w:numPr>
          <w:ilvl w:val="1"/>
          <w:numId w:val="3"/>
        </w:numPr>
        <w:spacing w:after="0" w:line="360" w:lineRule="auto"/>
        <w:ind w:left="1890" w:hanging="540"/>
      </w:pPr>
      <w:r>
        <w:t xml:space="preserve">Tingkat </w:t>
      </w:r>
      <w:proofErr w:type="spellStart"/>
      <w:r>
        <w:t>Pemenuhan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Sasaran</w:t>
      </w:r>
      <w:proofErr w:type="spellEnd"/>
      <w:r>
        <w:t xml:space="preserve"> Mutu, K3, &amp; </w:t>
      </w:r>
      <w:proofErr w:type="spellStart"/>
      <w:r>
        <w:t>Lingkungan</w:t>
      </w:r>
      <w:proofErr w:type="spellEnd"/>
      <w:r>
        <w:t>;</w:t>
      </w:r>
    </w:p>
    <w:p w14:paraId="35B50E1D" w14:textId="77777777" w:rsidR="002C23AF" w:rsidRDefault="002C23AF" w:rsidP="006C0DF1">
      <w:pPr>
        <w:pStyle w:val="ListParagraph"/>
        <w:numPr>
          <w:ilvl w:val="1"/>
          <w:numId w:val="3"/>
        </w:numPr>
        <w:spacing w:after="0" w:line="360" w:lineRule="auto"/>
        <w:ind w:left="1890" w:hanging="540"/>
      </w:pPr>
      <w:r>
        <w:t xml:space="preserve">Kinerja </w:t>
      </w:r>
      <w:proofErr w:type="spellStart"/>
      <w:r>
        <w:t>Penjualan</w:t>
      </w:r>
      <w:proofErr w:type="spellEnd"/>
      <w:r>
        <w:t xml:space="preserve"> Single Nursing Bed;</w:t>
      </w:r>
    </w:p>
    <w:p w14:paraId="7C679D63" w14:textId="77777777" w:rsidR="002C23AF" w:rsidRDefault="002C23AF" w:rsidP="006C0DF1">
      <w:pPr>
        <w:pStyle w:val="ListParagraph"/>
        <w:numPr>
          <w:ilvl w:val="1"/>
          <w:numId w:val="3"/>
        </w:numPr>
        <w:spacing w:after="0" w:line="360" w:lineRule="auto"/>
        <w:ind w:left="1890" w:hanging="540"/>
      </w:pPr>
      <w:r>
        <w:t>Kinerja Inventory Nursing Bed;</w:t>
      </w:r>
    </w:p>
    <w:p w14:paraId="06CBF899" w14:textId="77777777" w:rsidR="002C23AF" w:rsidRDefault="002C23AF" w:rsidP="006C0DF1">
      <w:pPr>
        <w:pStyle w:val="ListParagraph"/>
        <w:numPr>
          <w:ilvl w:val="1"/>
          <w:numId w:val="3"/>
        </w:numPr>
        <w:spacing w:after="0" w:line="360" w:lineRule="auto"/>
        <w:ind w:left="1890" w:hanging="540"/>
      </w:pPr>
      <w:r>
        <w:t xml:space="preserve">Kinerja </w:t>
      </w:r>
      <w:proofErr w:type="spellStart"/>
      <w:r>
        <w:t>Produksi</w:t>
      </w:r>
      <w:proofErr w:type="spellEnd"/>
      <w:r>
        <w:t xml:space="preserve"> Nursing Bed;</w:t>
      </w:r>
    </w:p>
    <w:p w14:paraId="71D23EE4" w14:textId="77777777" w:rsidR="002C23AF" w:rsidRDefault="002C23AF" w:rsidP="006C0DF1">
      <w:pPr>
        <w:pStyle w:val="ListParagraph"/>
        <w:numPr>
          <w:ilvl w:val="1"/>
          <w:numId w:val="3"/>
        </w:numPr>
        <w:spacing w:after="0" w:line="360" w:lineRule="auto"/>
        <w:ind w:left="1890" w:hanging="540"/>
      </w:pPr>
      <w:proofErr w:type="spellStart"/>
      <w:r>
        <w:t>Ketidaksesuaian</w:t>
      </w:r>
      <w:proofErr w:type="spellEnd"/>
      <w:r>
        <w:t xml:space="preserve"> dan Tindakan </w:t>
      </w:r>
      <w:proofErr w:type="spellStart"/>
      <w:r>
        <w:t>Koreksi</w:t>
      </w:r>
      <w:proofErr w:type="spellEnd"/>
      <w:r>
        <w:t xml:space="preserve"> Nursing Bed</w:t>
      </w:r>
      <w:r>
        <w:t>;</w:t>
      </w:r>
    </w:p>
    <w:p w14:paraId="6DB86060" w14:textId="77777777" w:rsidR="002C23AF" w:rsidRDefault="002C23AF" w:rsidP="006C0DF1">
      <w:pPr>
        <w:pStyle w:val="ListParagraph"/>
        <w:numPr>
          <w:ilvl w:val="1"/>
          <w:numId w:val="3"/>
        </w:numPr>
        <w:spacing w:after="0" w:line="360" w:lineRule="auto"/>
        <w:ind w:left="1890" w:hanging="540"/>
      </w:pPr>
      <w:r>
        <w:t xml:space="preserve">Survey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>;</w:t>
      </w:r>
    </w:p>
    <w:p w14:paraId="6338EA23" w14:textId="77777777" w:rsidR="002C23AF" w:rsidRDefault="002C23AF" w:rsidP="006C0DF1">
      <w:pPr>
        <w:pStyle w:val="ListParagraph"/>
        <w:numPr>
          <w:ilvl w:val="1"/>
          <w:numId w:val="3"/>
        </w:numPr>
        <w:spacing w:after="0" w:line="360" w:lineRule="auto"/>
        <w:ind w:left="1890" w:hanging="540"/>
      </w:pPr>
      <w:r>
        <w:t>Customer Complain;</w:t>
      </w:r>
    </w:p>
    <w:p w14:paraId="22124CA9" w14:textId="576958EA" w:rsidR="002C23AF" w:rsidRPr="002C23AF" w:rsidRDefault="002C23AF" w:rsidP="006C0DF1">
      <w:pPr>
        <w:pStyle w:val="ListParagraph"/>
        <w:numPr>
          <w:ilvl w:val="1"/>
          <w:numId w:val="3"/>
        </w:numPr>
        <w:spacing w:after="0" w:line="360" w:lineRule="auto"/>
        <w:ind w:left="1890" w:hanging="540"/>
      </w:pPr>
      <w:r>
        <w:t xml:space="preserve">Hasil Audit CDAKB </w:t>
      </w:r>
      <w:proofErr w:type="spellStart"/>
      <w:r>
        <w:t>Kemenkes</w:t>
      </w:r>
      <w:proofErr w:type="spellEnd"/>
      <w:r>
        <w:t xml:space="preserve"> 2025</w:t>
      </w:r>
      <w:r>
        <w:t>.</w:t>
      </w:r>
    </w:p>
    <w:p w14:paraId="106BCE85" w14:textId="7F84FAD2" w:rsidR="002C23AF" w:rsidRDefault="002C23AF" w:rsidP="006C0DF1">
      <w:pPr>
        <w:pStyle w:val="ListParagraph"/>
        <w:numPr>
          <w:ilvl w:val="0"/>
          <w:numId w:val="3"/>
        </w:numPr>
        <w:spacing w:after="0" w:line="360" w:lineRule="auto"/>
        <w:ind w:left="1350"/>
      </w:pPr>
      <w:proofErr w:type="spellStart"/>
      <w:r w:rsidRPr="002C23AF">
        <w:t>Kecukupan</w:t>
      </w:r>
      <w:proofErr w:type="spellEnd"/>
      <w:r w:rsidRPr="002C23AF">
        <w:t xml:space="preserve"> </w:t>
      </w:r>
      <w:proofErr w:type="spellStart"/>
      <w:r w:rsidRPr="002C23AF">
        <w:t>Sumber</w:t>
      </w:r>
      <w:proofErr w:type="spellEnd"/>
      <w:r w:rsidRPr="002C23AF">
        <w:t xml:space="preserve"> Daya</w:t>
      </w:r>
      <w:r>
        <w:t>;</w:t>
      </w:r>
    </w:p>
    <w:p w14:paraId="65903B6A" w14:textId="439619EE" w:rsidR="002C23AF" w:rsidRDefault="002C23AF" w:rsidP="006C0DF1">
      <w:pPr>
        <w:pStyle w:val="ListParagraph"/>
        <w:numPr>
          <w:ilvl w:val="1"/>
          <w:numId w:val="3"/>
        </w:numPr>
        <w:spacing w:after="0" w:line="360" w:lineRule="auto"/>
        <w:ind w:left="1980" w:hanging="540"/>
      </w:pPr>
      <w:proofErr w:type="spellStart"/>
      <w:r>
        <w:t>Sumber</w:t>
      </w:r>
      <w:proofErr w:type="spellEnd"/>
      <w:r>
        <w:t xml:space="preserve"> Daya </w:t>
      </w:r>
      <w:proofErr w:type="spellStart"/>
      <w:r>
        <w:t>Manusia</w:t>
      </w:r>
      <w:proofErr w:type="spellEnd"/>
      <w:r>
        <w:t>;</w:t>
      </w:r>
    </w:p>
    <w:p w14:paraId="5A0B6AC8" w14:textId="36BA342C" w:rsidR="002C23AF" w:rsidRDefault="002C23AF" w:rsidP="006C0DF1">
      <w:pPr>
        <w:pStyle w:val="ListParagraph"/>
        <w:numPr>
          <w:ilvl w:val="1"/>
          <w:numId w:val="3"/>
        </w:numPr>
        <w:spacing w:after="0" w:line="360" w:lineRule="auto"/>
        <w:ind w:left="1980" w:hanging="540"/>
      </w:pPr>
      <w:proofErr w:type="spellStart"/>
      <w:r>
        <w:t>Sumber</w:t>
      </w:r>
      <w:proofErr w:type="spellEnd"/>
      <w:r>
        <w:t xml:space="preserve"> Daya </w:t>
      </w:r>
      <w:proofErr w:type="spellStart"/>
      <w:r>
        <w:t>Peralatan</w:t>
      </w:r>
      <w:proofErr w:type="spellEnd"/>
      <w:r>
        <w:t xml:space="preserve"> dan </w:t>
      </w:r>
      <w:proofErr w:type="spellStart"/>
      <w:r>
        <w:t>Mesin</w:t>
      </w:r>
      <w:proofErr w:type="spellEnd"/>
      <w:r>
        <w:t>.</w:t>
      </w:r>
    </w:p>
    <w:p w14:paraId="1073F302" w14:textId="2DB9ECF6" w:rsidR="002C23AF" w:rsidRDefault="002C23AF" w:rsidP="006C0DF1">
      <w:pPr>
        <w:pStyle w:val="ListParagraph"/>
        <w:numPr>
          <w:ilvl w:val="0"/>
          <w:numId w:val="3"/>
        </w:numPr>
        <w:spacing w:after="0" w:line="360" w:lineRule="auto"/>
        <w:ind w:left="1350"/>
      </w:pPr>
      <w:proofErr w:type="spellStart"/>
      <w:r w:rsidRPr="002C23AF">
        <w:t>Efektivitas</w:t>
      </w:r>
      <w:proofErr w:type="spellEnd"/>
      <w:r w:rsidRPr="002C23AF">
        <w:t xml:space="preserve"> Tindakan yang </w:t>
      </w:r>
      <w:proofErr w:type="spellStart"/>
      <w:r w:rsidRPr="002C23AF">
        <w:t>Diambil</w:t>
      </w:r>
      <w:proofErr w:type="spellEnd"/>
      <w:r w:rsidRPr="002C23AF">
        <w:t xml:space="preserve"> </w:t>
      </w:r>
      <w:proofErr w:type="spellStart"/>
      <w:r w:rsidRPr="002C23AF">
        <w:t>terhadap</w:t>
      </w:r>
      <w:proofErr w:type="spellEnd"/>
      <w:r w:rsidRPr="002C23AF">
        <w:t xml:space="preserve"> </w:t>
      </w:r>
      <w:proofErr w:type="spellStart"/>
      <w:r w:rsidRPr="002C23AF">
        <w:t>Resiko</w:t>
      </w:r>
      <w:proofErr w:type="spellEnd"/>
      <w:r>
        <w:t>;</w:t>
      </w:r>
    </w:p>
    <w:p w14:paraId="0DEAA72C" w14:textId="77777777" w:rsidR="002C23AF" w:rsidRDefault="002C23AF" w:rsidP="006C0DF1">
      <w:pPr>
        <w:pStyle w:val="ListParagraph"/>
        <w:numPr>
          <w:ilvl w:val="0"/>
          <w:numId w:val="3"/>
        </w:numPr>
        <w:spacing w:after="0" w:line="360" w:lineRule="auto"/>
        <w:ind w:left="1350"/>
      </w:pPr>
      <w:proofErr w:type="spellStart"/>
      <w:r w:rsidRPr="002C23AF">
        <w:t>Peluang</w:t>
      </w:r>
      <w:proofErr w:type="spellEnd"/>
      <w:r w:rsidRPr="002C23AF">
        <w:t xml:space="preserve"> </w:t>
      </w:r>
      <w:proofErr w:type="spellStart"/>
      <w:r w:rsidRPr="002C23AF">
        <w:t>untuk</w:t>
      </w:r>
      <w:proofErr w:type="spellEnd"/>
      <w:r w:rsidRPr="002C23AF">
        <w:t xml:space="preserve"> </w:t>
      </w:r>
      <w:proofErr w:type="spellStart"/>
      <w:r w:rsidRPr="002C23AF">
        <w:t>Perbaikan</w:t>
      </w:r>
      <w:proofErr w:type="spellEnd"/>
      <w:r w:rsidRPr="002C23AF">
        <w:t xml:space="preserve"> Kinerja</w:t>
      </w:r>
      <w:r>
        <w:t>;</w:t>
      </w:r>
    </w:p>
    <w:p w14:paraId="18EC87CD" w14:textId="7E1BEC91" w:rsidR="002C23AF" w:rsidRPr="002C23AF" w:rsidRDefault="002C23AF" w:rsidP="006C0DF1">
      <w:pPr>
        <w:pStyle w:val="ListParagraph"/>
        <w:numPr>
          <w:ilvl w:val="0"/>
          <w:numId w:val="3"/>
        </w:numPr>
        <w:spacing w:after="0" w:line="360" w:lineRule="auto"/>
        <w:ind w:left="1350"/>
      </w:pPr>
      <w:proofErr w:type="spellStart"/>
      <w:r w:rsidRPr="002C23AF">
        <w:t>Persyaratan</w:t>
      </w:r>
      <w:proofErr w:type="spellEnd"/>
      <w:r w:rsidRPr="002C23AF">
        <w:t xml:space="preserve"> </w:t>
      </w:r>
      <w:proofErr w:type="spellStart"/>
      <w:r w:rsidRPr="002C23AF">
        <w:t>regulasi</w:t>
      </w:r>
      <w:proofErr w:type="spellEnd"/>
      <w:r w:rsidRPr="002C23AF">
        <w:t xml:space="preserve"> </w:t>
      </w:r>
      <w:proofErr w:type="spellStart"/>
      <w:r w:rsidRPr="002C23AF">
        <w:t>baru</w:t>
      </w:r>
      <w:proofErr w:type="spellEnd"/>
      <w:r w:rsidRPr="002C23AF">
        <w:t xml:space="preserve"> </w:t>
      </w:r>
      <w:proofErr w:type="spellStart"/>
      <w:r w:rsidRPr="002C23AF">
        <w:t>atau</w:t>
      </w:r>
      <w:proofErr w:type="spellEnd"/>
      <w:r w:rsidRPr="002C23AF">
        <w:t xml:space="preserve"> yang </w:t>
      </w:r>
      <w:proofErr w:type="spellStart"/>
      <w:r w:rsidRPr="002C23AF">
        <w:t>direvisi</w:t>
      </w:r>
      <w:proofErr w:type="spellEnd"/>
      <w:r>
        <w:t>.</w:t>
      </w:r>
    </w:p>
    <w:p w14:paraId="18B2E31D" w14:textId="77777777" w:rsidR="007255AB" w:rsidRPr="002C23AF" w:rsidRDefault="007255AB" w:rsidP="006450F5">
      <w:pPr>
        <w:spacing w:line="240" w:lineRule="auto"/>
      </w:pPr>
    </w:p>
    <w:tbl>
      <w:tblPr>
        <w:tblStyle w:val="TableGrid"/>
        <w:tblW w:w="11785" w:type="dxa"/>
        <w:jc w:val="center"/>
        <w:tblLook w:val="04A0" w:firstRow="1" w:lastRow="0" w:firstColumn="1" w:lastColumn="0" w:noHBand="0" w:noVBand="1"/>
      </w:tblPr>
      <w:tblGrid>
        <w:gridCol w:w="11785"/>
      </w:tblGrid>
      <w:tr w:rsidR="00405DD4" w14:paraId="629A5264" w14:textId="77777777" w:rsidTr="00DC1A6E">
        <w:trPr>
          <w:trHeight w:val="701"/>
          <w:jc w:val="center"/>
        </w:trPr>
        <w:tc>
          <w:tcPr>
            <w:tcW w:w="11785" w:type="dxa"/>
            <w:vAlign w:val="center"/>
          </w:tcPr>
          <w:p w14:paraId="46ABC1D8" w14:textId="50FCD81A" w:rsidR="00405DD4" w:rsidRDefault="00405DD4" w:rsidP="00DC1A6E">
            <w:pPr>
              <w:pStyle w:val="ListParagraph"/>
              <w:numPr>
                <w:ilvl w:val="0"/>
                <w:numId w:val="5"/>
              </w:numPr>
              <w:ind w:left="433"/>
              <w:rPr>
                <w:b/>
              </w:rPr>
            </w:pPr>
            <w:r>
              <w:rPr>
                <w:b/>
              </w:rPr>
              <w:lastRenderedPageBreak/>
              <w:t xml:space="preserve">REVIEW HASIL AUDIT </w:t>
            </w:r>
            <w:r w:rsidR="00DC1A6E">
              <w:rPr>
                <w:b/>
              </w:rPr>
              <w:t>CDAKB KEMENKES</w:t>
            </w:r>
            <w:r>
              <w:rPr>
                <w:b/>
              </w:rPr>
              <w:t>:</w:t>
            </w:r>
          </w:p>
          <w:p w14:paraId="6BFCF6F0" w14:textId="078A1BCB" w:rsidR="00405DD4" w:rsidRPr="00405DD4" w:rsidRDefault="00DC1A6E" w:rsidP="00DC1A6E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TEMUAN AUDIT BERDASARKAN KLAUSUL CDAKB SEBAGAI BERIKUT:</w:t>
            </w:r>
          </w:p>
        </w:tc>
      </w:tr>
    </w:tbl>
    <w:p w14:paraId="365879EC" w14:textId="77777777" w:rsidR="002C23AF" w:rsidRDefault="002C23AF" w:rsidP="00EC5917">
      <w:pPr>
        <w:spacing w:line="240" w:lineRule="auto"/>
        <w:ind w:left="-1166"/>
      </w:pPr>
    </w:p>
    <w:tbl>
      <w:tblPr>
        <w:tblW w:w="11785" w:type="dxa"/>
        <w:jc w:val="center"/>
        <w:tblLook w:val="04A0" w:firstRow="1" w:lastRow="0" w:firstColumn="1" w:lastColumn="0" w:noHBand="0" w:noVBand="1"/>
      </w:tblPr>
      <w:tblGrid>
        <w:gridCol w:w="1220"/>
        <w:gridCol w:w="10565"/>
      </w:tblGrid>
      <w:tr w:rsidR="00DC1A6E" w:rsidRPr="00DC1A6E" w14:paraId="720920C5" w14:textId="77777777" w:rsidTr="00DC1A6E">
        <w:trPr>
          <w:trHeight w:val="51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42AC794" w14:textId="77777777" w:rsidR="00DC1A6E" w:rsidRPr="00DC1A6E" w:rsidRDefault="00DC1A6E" w:rsidP="00DC1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Klausul</w:t>
            </w:r>
            <w:proofErr w:type="spellEnd"/>
          </w:p>
        </w:tc>
        <w:tc>
          <w:tcPr>
            <w:tcW w:w="10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37717A" w14:textId="77777777" w:rsidR="00DC1A6E" w:rsidRPr="00DC1A6E" w:rsidRDefault="00DC1A6E" w:rsidP="00DC1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Temuan</w:t>
            </w:r>
            <w:proofErr w:type="spellEnd"/>
          </w:p>
        </w:tc>
      </w:tr>
      <w:tr w:rsidR="00DC1A6E" w:rsidRPr="00DC1A6E" w14:paraId="0EC7C837" w14:textId="77777777" w:rsidTr="00DC1A6E">
        <w:trPr>
          <w:trHeight w:val="51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33B2265" w14:textId="77777777" w:rsidR="00DC1A6E" w:rsidRPr="00DC1A6E" w:rsidRDefault="00DC1A6E" w:rsidP="00DC1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</w:pPr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0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EA36E35" w14:textId="77777777" w:rsidR="00DC1A6E" w:rsidRPr="00DC1A6E" w:rsidRDefault="00DC1A6E" w:rsidP="00DC1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Sistem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Manajemen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Mutu</w:t>
            </w:r>
          </w:p>
        </w:tc>
      </w:tr>
      <w:tr w:rsidR="00DC1A6E" w:rsidRPr="00DC1A6E" w14:paraId="0B95581E" w14:textId="77777777" w:rsidTr="00DC1A6E">
        <w:trPr>
          <w:trHeight w:val="624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9B42" w14:textId="77777777" w:rsidR="00DC1A6E" w:rsidRPr="00DC1A6E" w:rsidRDefault="00DC1A6E" w:rsidP="00DC1A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14:ligatures w14:val="none"/>
              </w:rPr>
            </w:pPr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1.1</w:t>
            </w:r>
          </w:p>
        </w:tc>
        <w:tc>
          <w:tcPr>
            <w:tcW w:w="10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EC12" w14:textId="77777777" w:rsidR="00DC1A6E" w:rsidRPr="00DC1A6E" w:rsidRDefault="00DC1A6E" w:rsidP="00DC1A6E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14:ligatures w14:val="none"/>
              </w:rPr>
            </w:pP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Prosedur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Pengendalian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dokumen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(MR.P.1)  </w:t>
            </w:r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br/>
              <w:t xml:space="preserve">Ruang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lingkup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prosedur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belum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terkait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cara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CDAKB</w:t>
            </w:r>
          </w:p>
        </w:tc>
      </w:tr>
      <w:tr w:rsidR="00DC1A6E" w:rsidRPr="00DC1A6E" w14:paraId="19303827" w14:textId="77777777" w:rsidTr="00DC1A6E">
        <w:trPr>
          <w:trHeight w:val="51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B6227C0" w14:textId="77777777" w:rsidR="00DC1A6E" w:rsidRPr="00DC1A6E" w:rsidRDefault="00DC1A6E" w:rsidP="00DC1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</w:pPr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0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F9BDB12" w14:textId="77777777" w:rsidR="00DC1A6E" w:rsidRPr="00DC1A6E" w:rsidRDefault="00DC1A6E" w:rsidP="00DC1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Bangunan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Fasilitas</w:t>
            </w:r>
            <w:proofErr w:type="spellEnd"/>
          </w:p>
        </w:tc>
      </w:tr>
      <w:tr w:rsidR="00DC1A6E" w:rsidRPr="00DC1A6E" w14:paraId="6733443F" w14:textId="77777777" w:rsidTr="00DC1A6E">
        <w:trPr>
          <w:trHeight w:val="936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F852" w14:textId="77777777" w:rsidR="00DC1A6E" w:rsidRPr="00DC1A6E" w:rsidRDefault="00DC1A6E" w:rsidP="00DC1A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14:ligatures w14:val="none"/>
              </w:rPr>
            </w:pPr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3.1</w:t>
            </w:r>
          </w:p>
        </w:tc>
        <w:tc>
          <w:tcPr>
            <w:tcW w:w="10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5EEB" w14:textId="77777777" w:rsidR="00DC1A6E" w:rsidRPr="00DC1A6E" w:rsidRDefault="00DC1A6E" w:rsidP="00DC1A6E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14:ligatures w14:val="none"/>
              </w:rPr>
            </w:pP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Instruksi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Kerja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Pemeliharaan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Bangunan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(HC.P.4.IK.9)</w:t>
            </w:r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br/>
              <w:t xml:space="preserve">Ruang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Lingkup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IK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Kebersihan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masih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mencakup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proses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produksi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tidak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terdapat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proses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Distribusi</w:t>
            </w:r>
            <w:proofErr w:type="spellEnd"/>
          </w:p>
        </w:tc>
      </w:tr>
      <w:tr w:rsidR="00DC1A6E" w:rsidRPr="00DC1A6E" w14:paraId="24B002F0" w14:textId="77777777" w:rsidTr="00DC1A6E">
        <w:trPr>
          <w:trHeight w:val="51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4CE0DCA" w14:textId="77777777" w:rsidR="00DC1A6E" w:rsidRPr="00DC1A6E" w:rsidRDefault="00DC1A6E" w:rsidP="00DC1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</w:pPr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0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FF3BD3F" w14:textId="77777777" w:rsidR="00DC1A6E" w:rsidRPr="00DC1A6E" w:rsidRDefault="00DC1A6E" w:rsidP="00DC1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Penyimpanan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dan 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Penanganan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Persediaan</w:t>
            </w:r>
            <w:proofErr w:type="spellEnd"/>
          </w:p>
        </w:tc>
      </w:tr>
      <w:tr w:rsidR="00DC1A6E" w:rsidRPr="00DC1A6E" w14:paraId="3BD7E765" w14:textId="77777777" w:rsidTr="00DC1A6E">
        <w:trPr>
          <w:trHeight w:val="936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7DFE" w14:textId="77777777" w:rsidR="00DC1A6E" w:rsidRPr="00DC1A6E" w:rsidRDefault="00DC1A6E" w:rsidP="00DC1A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14:ligatures w14:val="none"/>
              </w:rPr>
            </w:pPr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4.1</w:t>
            </w:r>
          </w:p>
        </w:tc>
        <w:tc>
          <w:tcPr>
            <w:tcW w:w="10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33B7" w14:textId="77777777" w:rsidR="00DC1A6E" w:rsidRPr="00DC1A6E" w:rsidRDefault="00DC1A6E" w:rsidP="00DC1A6E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14:ligatures w14:val="none"/>
              </w:rPr>
            </w:pP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Prosedur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Pembelian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(P-P) (PCH.P.1)</w:t>
            </w:r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br/>
              <w:t xml:space="preserve">Ruang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Lingkup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SOP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Pembelian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masih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mencakup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proses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produksi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tidak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terdapat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proses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Distribusi</w:t>
            </w:r>
            <w:proofErr w:type="spellEnd"/>
          </w:p>
        </w:tc>
      </w:tr>
      <w:tr w:rsidR="00DC1A6E" w:rsidRPr="00DC1A6E" w14:paraId="1665BEA8" w14:textId="77777777" w:rsidTr="00DC1A6E">
        <w:trPr>
          <w:trHeight w:val="936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E787" w14:textId="77777777" w:rsidR="00DC1A6E" w:rsidRPr="00DC1A6E" w:rsidRDefault="00DC1A6E" w:rsidP="00DC1A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14:ligatures w14:val="none"/>
              </w:rPr>
            </w:pPr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4.2</w:t>
            </w:r>
          </w:p>
        </w:tc>
        <w:tc>
          <w:tcPr>
            <w:tcW w:w="10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1E14" w14:textId="77777777" w:rsidR="00DC1A6E" w:rsidRPr="00DC1A6E" w:rsidRDefault="00DC1A6E" w:rsidP="00DC1A6E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14:ligatures w14:val="none"/>
              </w:rPr>
            </w:pP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Prosedur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Penanggulangan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Kebakaran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(P.HSE.26)</w:t>
            </w:r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br/>
              <w:t xml:space="preserve">Belum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terdapat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proses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penangan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Alkes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jika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terjadi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kegawadaruratan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pada SOP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Penangan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kondisi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darurat</w:t>
            </w:r>
            <w:proofErr w:type="spellEnd"/>
          </w:p>
        </w:tc>
      </w:tr>
      <w:tr w:rsidR="00DC1A6E" w:rsidRPr="00DC1A6E" w14:paraId="76EE2DE8" w14:textId="77777777" w:rsidTr="00DC1A6E">
        <w:trPr>
          <w:trHeight w:val="51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8500141" w14:textId="77777777" w:rsidR="00DC1A6E" w:rsidRPr="00DC1A6E" w:rsidRDefault="00DC1A6E" w:rsidP="00DC1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</w:pPr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0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04D0CBB" w14:textId="77777777" w:rsidR="00DC1A6E" w:rsidRPr="00DC1A6E" w:rsidRDefault="00DC1A6E" w:rsidP="00DC1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</w:pPr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Mampu 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Telusur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Produk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(Traceability)</w:t>
            </w:r>
          </w:p>
        </w:tc>
      </w:tr>
      <w:tr w:rsidR="00DC1A6E" w:rsidRPr="00DC1A6E" w14:paraId="719600D3" w14:textId="77777777" w:rsidTr="00DC1A6E">
        <w:trPr>
          <w:trHeight w:val="936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2487" w14:textId="77777777" w:rsidR="00DC1A6E" w:rsidRPr="00DC1A6E" w:rsidRDefault="00DC1A6E" w:rsidP="00DC1A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14:ligatures w14:val="none"/>
              </w:rPr>
            </w:pPr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5.1</w:t>
            </w:r>
          </w:p>
        </w:tc>
        <w:tc>
          <w:tcPr>
            <w:tcW w:w="10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23A3" w14:textId="77777777" w:rsidR="00DC1A6E" w:rsidRPr="00DC1A6E" w:rsidRDefault="00DC1A6E" w:rsidP="00DC1A6E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14:ligatures w14:val="none"/>
              </w:rPr>
            </w:pP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Prosedur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Penyaluran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Produk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NSB (Mampu 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Telusur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) (MKT.P.12)</w:t>
            </w:r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br/>
              <w:t xml:space="preserve">Ruang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Lingkup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SOP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mampu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telusur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masih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mencakup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proses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Produksi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belum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mencantumkan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tahapan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Distribusi</w:t>
            </w:r>
            <w:proofErr w:type="spellEnd"/>
          </w:p>
        </w:tc>
      </w:tr>
      <w:tr w:rsidR="00DC1A6E" w:rsidRPr="00DC1A6E" w14:paraId="442A993F" w14:textId="77777777" w:rsidTr="00DC1A6E">
        <w:trPr>
          <w:trHeight w:val="51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2AA8BFA" w14:textId="77777777" w:rsidR="00DC1A6E" w:rsidRPr="00DC1A6E" w:rsidRDefault="00DC1A6E" w:rsidP="00DC1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</w:pPr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0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3C8A9E6" w14:textId="77777777" w:rsidR="00DC1A6E" w:rsidRPr="00DC1A6E" w:rsidRDefault="00DC1A6E" w:rsidP="00DC1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Penanganan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Keluhan</w:t>
            </w:r>
            <w:proofErr w:type="spellEnd"/>
          </w:p>
        </w:tc>
      </w:tr>
      <w:tr w:rsidR="00DC1A6E" w:rsidRPr="00DC1A6E" w14:paraId="17CAD4B3" w14:textId="77777777" w:rsidTr="00DC1A6E">
        <w:trPr>
          <w:trHeight w:val="936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E4AC" w14:textId="77777777" w:rsidR="00DC1A6E" w:rsidRPr="00DC1A6E" w:rsidRDefault="00DC1A6E" w:rsidP="00DC1A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14:ligatures w14:val="none"/>
              </w:rPr>
            </w:pPr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6.1</w:t>
            </w:r>
          </w:p>
        </w:tc>
        <w:tc>
          <w:tcPr>
            <w:tcW w:w="10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6BB4" w14:textId="77777777" w:rsidR="00DC1A6E" w:rsidRPr="00DC1A6E" w:rsidRDefault="00DC1A6E" w:rsidP="00DC1A6E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14:ligatures w14:val="none"/>
              </w:rPr>
            </w:pP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Prosedur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Penanganan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Komplain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(MKT.P.6)</w:t>
            </w:r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br/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Ditemukan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keluhan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pelanggan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dari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PT.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Indomedik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yang di input di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sistem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CIS Web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lebih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dari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H+1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tidak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sesuai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point 4.3 pada SOP</w:t>
            </w:r>
          </w:p>
        </w:tc>
      </w:tr>
      <w:tr w:rsidR="00DC1A6E" w:rsidRPr="00DC1A6E" w14:paraId="4021EC06" w14:textId="77777777" w:rsidTr="00DC1A6E">
        <w:trPr>
          <w:trHeight w:val="936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979D" w14:textId="77777777" w:rsidR="00DC1A6E" w:rsidRPr="00DC1A6E" w:rsidRDefault="00DC1A6E" w:rsidP="00DC1A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14:ligatures w14:val="none"/>
              </w:rPr>
            </w:pPr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6.2</w:t>
            </w:r>
          </w:p>
        </w:tc>
        <w:tc>
          <w:tcPr>
            <w:tcW w:w="10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51E7" w14:textId="77777777" w:rsidR="00DC1A6E" w:rsidRPr="00DC1A6E" w:rsidRDefault="00DC1A6E" w:rsidP="00DC1A6E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14:ligatures w14:val="none"/>
              </w:rPr>
            </w:pP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Prosedur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Kejadian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Tidak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Diinginkan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(GSNSB.P.10)</w:t>
            </w:r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br/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Prosedur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belum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memuat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langkah-langkah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yang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dilakukan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perusahaan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untuk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menangani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KTD</w:t>
            </w:r>
          </w:p>
        </w:tc>
      </w:tr>
      <w:tr w:rsidR="00DC1A6E" w:rsidRPr="00DC1A6E" w14:paraId="755EA734" w14:textId="77777777" w:rsidTr="006C0DF1">
        <w:trPr>
          <w:trHeight w:val="51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0688B9A" w14:textId="77777777" w:rsidR="00DC1A6E" w:rsidRPr="00DC1A6E" w:rsidRDefault="00DC1A6E" w:rsidP="00DC1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</w:pPr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0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5C08296" w14:textId="77777777" w:rsidR="00DC1A6E" w:rsidRPr="00DC1A6E" w:rsidRDefault="00DC1A6E" w:rsidP="00DC1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</w:pPr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Tindakan 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Perbaikan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Keamanan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di 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Lapangan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(FSCA)</w:t>
            </w:r>
          </w:p>
        </w:tc>
      </w:tr>
      <w:tr w:rsidR="00DC1A6E" w:rsidRPr="00DC1A6E" w14:paraId="0188B858" w14:textId="77777777" w:rsidTr="006C0DF1">
        <w:trPr>
          <w:trHeight w:val="1248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79B0" w14:textId="77777777" w:rsidR="00DC1A6E" w:rsidRPr="00DC1A6E" w:rsidRDefault="00DC1A6E" w:rsidP="00DC1A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14:ligatures w14:val="none"/>
              </w:rPr>
            </w:pPr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lastRenderedPageBreak/>
              <w:t>7.1</w:t>
            </w:r>
          </w:p>
        </w:tc>
        <w:tc>
          <w:tcPr>
            <w:tcW w:w="10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4242" w14:textId="77777777" w:rsidR="00DC1A6E" w:rsidRPr="00DC1A6E" w:rsidRDefault="00DC1A6E" w:rsidP="00DC1A6E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14:ligatures w14:val="none"/>
              </w:rPr>
            </w:pP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Prosedur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Tetap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Field Safety Corrective Action (FSCA) (GSNSB.P.11)</w:t>
            </w:r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br/>
              <w:t xml:space="preserve">-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Prosedur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belum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memuat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kriteria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tindakan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FSCA.</w:t>
            </w:r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br/>
              <w:t xml:space="preserve">-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Prosedur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belum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membahas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tindakan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FSCA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sesuai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ruang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lingkup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br/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perusahaan</w:t>
            </w:r>
            <w:proofErr w:type="spellEnd"/>
          </w:p>
        </w:tc>
      </w:tr>
      <w:tr w:rsidR="00DC1A6E" w:rsidRPr="00DC1A6E" w14:paraId="11CD57A5" w14:textId="77777777" w:rsidTr="006C0DF1">
        <w:trPr>
          <w:trHeight w:val="1248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BDB0" w14:textId="77777777" w:rsidR="00DC1A6E" w:rsidRPr="00DC1A6E" w:rsidRDefault="00DC1A6E" w:rsidP="00DC1A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14:ligatures w14:val="none"/>
              </w:rPr>
            </w:pPr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7.2</w:t>
            </w:r>
          </w:p>
        </w:tc>
        <w:tc>
          <w:tcPr>
            <w:tcW w:w="10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1235" w14:textId="77777777" w:rsidR="00DC1A6E" w:rsidRPr="00DC1A6E" w:rsidRDefault="00DC1A6E" w:rsidP="00DC1A6E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14:ligatures w14:val="none"/>
              </w:rPr>
            </w:pP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Instruksi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Kerja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Penarikan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Produk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(Recall) Alat Kesehatan (MKT.P.6/ MKT.IK.2.)</w:t>
            </w:r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br/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Ditemukan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informasi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atau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perintah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recall (6.1)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berasal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dari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br/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pelanggan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tidak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sesuai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dengan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lampiran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Permenkes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4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tahun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2021</w:t>
            </w:r>
          </w:p>
        </w:tc>
      </w:tr>
      <w:tr w:rsidR="00DC1A6E" w:rsidRPr="00DC1A6E" w14:paraId="4C954BF6" w14:textId="77777777" w:rsidTr="00DC1A6E">
        <w:trPr>
          <w:trHeight w:val="51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DA806FF" w14:textId="77777777" w:rsidR="00DC1A6E" w:rsidRPr="00DC1A6E" w:rsidRDefault="00DC1A6E" w:rsidP="00DC1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</w:pPr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0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2212501" w14:textId="77777777" w:rsidR="00DC1A6E" w:rsidRPr="00DC1A6E" w:rsidRDefault="00DC1A6E" w:rsidP="00DC1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Pengembalian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/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Retur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Alat Kesehatan</w:t>
            </w:r>
          </w:p>
        </w:tc>
      </w:tr>
      <w:tr w:rsidR="00DC1A6E" w:rsidRPr="00DC1A6E" w14:paraId="6FAFD523" w14:textId="77777777" w:rsidTr="00DC1A6E">
        <w:trPr>
          <w:trHeight w:val="1248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09D8" w14:textId="77777777" w:rsidR="00DC1A6E" w:rsidRPr="00DC1A6E" w:rsidRDefault="00DC1A6E" w:rsidP="00DC1A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14:ligatures w14:val="none"/>
              </w:rPr>
            </w:pPr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8.1</w:t>
            </w:r>
          </w:p>
        </w:tc>
        <w:tc>
          <w:tcPr>
            <w:tcW w:w="10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560C" w14:textId="77777777" w:rsidR="00DC1A6E" w:rsidRPr="00DC1A6E" w:rsidRDefault="00DC1A6E" w:rsidP="00DC1A6E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14:ligatures w14:val="none"/>
              </w:rPr>
            </w:pP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Instruksi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Kerja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Pengembalian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Produk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(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Retur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) Alat Kesehatan (MKT.P.6/MKT.IK.3.)</w:t>
            </w:r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br/>
            </w:r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IK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belum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membahas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langkah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langkah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yang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dilakukan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br/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perusahan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untuk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menangani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produk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retur</w:t>
            </w:r>
            <w:proofErr w:type="spellEnd"/>
          </w:p>
        </w:tc>
      </w:tr>
      <w:tr w:rsidR="00DC1A6E" w:rsidRPr="00DC1A6E" w14:paraId="52056FB6" w14:textId="77777777" w:rsidTr="00DC1A6E">
        <w:trPr>
          <w:trHeight w:val="51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7908432" w14:textId="77777777" w:rsidR="00DC1A6E" w:rsidRPr="00DC1A6E" w:rsidRDefault="00DC1A6E" w:rsidP="00DC1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</w:pPr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0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E2C3BF9" w14:textId="77777777" w:rsidR="00DC1A6E" w:rsidRPr="00DC1A6E" w:rsidRDefault="00DC1A6E" w:rsidP="00DC1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</w:pPr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Audit Internal</w:t>
            </w:r>
          </w:p>
        </w:tc>
      </w:tr>
      <w:tr w:rsidR="00DC1A6E" w:rsidRPr="00DC1A6E" w14:paraId="133EB98D" w14:textId="77777777" w:rsidTr="00DC1A6E">
        <w:trPr>
          <w:trHeight w:val="936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720F" w14:textId="77777777" w:rsidR="00DC1A6E" w:rsidRPr="00DC1A6E" w:rsidRDefault="00DC1A6E" w:rsidP="00DC1A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14:ligatures w14:val="none"/>
              </w:rPr>
            </w:pPr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11.1</w:t>
            </w:r>
          </w:p>
        </w:tc>
        <w:tc>
          <w:tcPr>
            <w:tcW w:w="10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743B" w14:textId="77777777" w:rsidR="00DC1A6E" w:rsidRPr="00DC1A6E" w:rsidRDefault="00DC1A6E" w:rsidP="00DC1A6E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14:ligatures w14:val="none"/>
              </w:rPr>
            </w:pP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Prosedur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Audit Internal 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Sistem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Manajemen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(MR.P.3.)</w:t>
            </w:r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br/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Ditemukan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Formulir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Internal Quality Audit Checklist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belum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memuat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informasi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auidtee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, auditor,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tanggal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dst</w:t>
            </w:r>
            <w:proofErr w:type="spellEnd"/>
          </w:p>
        </w:tc>
      </w:tr>
      <w:tr w:rsidR="00DC1A6E" w:rsidRPr="00DC1A6E" w14:paraId="196C2AF2" w14:textId="77777777" w:rsidTr="00DC1A6E">
        <w:trPr>
          <w:trHeight w:val="51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8611FF3" w14:textId="77777777" w:rsidR="00DC1A6E" w:rsidRPr="00DC1A6E" w:rsidRDefault="00DC1A6E" w:rsidP="00DC1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</w:pPr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0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113A349" w14:textId="77777777" w:rsidR="00DC1A6E" w:rsidRPr="00DC1A6E" w:rsidRDefault="00DC1A6E" w:rsidP="00DC1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</w:pPr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Kajian 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Manajemen</w:t>
            </w:r>
            <w:proofErr w:type="spellEnd"/>
          </w:p>
        </w:tc>
      </w:tr>
      <w:tr w:rsidR="00DC1A6E" w:rsidRPr="00DC1A6E" w14:paraId="282BD6B7" w14:textId="77777777" w:rsidTr="00DC1A6E">
        <w:trPr>
          <w:trHeight w:val="624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5077" w14:textId="77777777" w:rsidR="00DC1A6E" w:rsidRPr="00DC1A6E" w:rsidRDefault="00DC1A6E" w:rsidP="00DC1A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14:ligatures w14:val="none"/>
              </w:rPr>
            </w:pPr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12.1</w:t>
            </w:r>
          </w:p>
        </w:tc>
        <w:tc>
          <w:tcPr>
            <w:tcW w:w="10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DB2A" w14:textId="77777777" w:rsidR="00DC1A6E" w:rsidRPr="00DC1A6E" w:rsidRDefault="00DC1A6E" w:rsidP="00DC1A6E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14:ligatures w14:val="none"/>
              </w:rPr>
            </w:pP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Prosedur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Tinjauan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Manajemen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(P-TM) (MR.P.4)</w:t>
            </w:r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br/>
            </w:r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Belum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melakukan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rapat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tinjauan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manajemen</w:t>
            </w:r>
            <w:proofErr w:type="spellEnd"/>
          </w:p>
        </w:tc>
      </w:tr>
      <w:tr w:rsidR="00DC1A6E" w:rsidRPr="00DC1A6E" w14:paraId="42556FA8" w14:textId="77777777" w:rsidTr="00DC1A6E">
        <w:trPr>
          <w:trHeight w:val="51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4D8F915" w14:textId="77777777" w:rsidR="00DC1A6E" w:rsidRPr="00DC1A6E" w:rsidRDefault="00DC1A6E" w:rsidP="00DC1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</w:pPr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0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2D862DD" w14:textId="77777777" w:rsidR="00DC1A6E" w:rsidRPr="00DC1A6E" w:rsidRDefault="00DC1A6E" w:rsidP="00DC1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Aktivitas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Pihak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Ketiga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(Outsourcing Activity)</w:t>
            </w:r>
          </w:p>
        </w:tc>
      </w:tr>
      <w:tr w:rsidR="00DC1A6E" w:rsidRPr="00DC1A6E" w14:paraId="02B47141" w14:textId="77777777" w:rsidTr="00DC1A6E">
        <w:trPr>
          <w:trHeight w:val="936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62CA" w14:textId="77777777" w:rsidR="00DC1A6E" w:rsidRPr="00DC1A6E" w:rsidRDefault="00DC1A6E" w:rsidP="00DC1A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14:ligatures w14:val="none"/>
              </w:rPr>
            </w:pPr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13.1</w:t>
            </w:r>
          </w:p>
        </w:tc>
        <w:tc>
          <w:tcPr>
            <w:tcW w:w="10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B94D" w14:textId="77777777" w:rsidR="00DC1A6E" w:rsidRPr="00DC1A6E" w:rsidRDefault="00DC1A6E" w:rsidP="00DC1A6E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14:ligatures w14:val="none"/>
              </w:rPr>
            </w:pP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Prosedur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Penilaian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Kinerja 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Pemasok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(P-PKP) (PCH.P.2)</w:t>
            </w:r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br/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Prosedur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belum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membahas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penilaian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kinerja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sesuai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ruang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lingkup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br/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perusahaan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sebagai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sarana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distribusi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.</w:t>
            </w:r>
          </w:p>
        </w:tc>
      </w:tr>
      <w:tr w:rsidR="00DC1A6E" w:rsidRPr="00DC1A6E" w14:paraId="6121639A" w14:textId="77777777" w:rsidTr="009A57AF">
        <w:trPr>
          <w:trHeight w:val="107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7984" w14:textId="77777777" w:rsidR="00DC1A6E" w:rsidRPr="00DC1A6E" w:rsidRDefault="00DC1A6E" w:rsidP="00DC1A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14:ligatures w14:val="none"/>
              </w:rPr>
            </w:pPr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13.2</w:t>
            </w:r>
          </w:p>
        </w:tc>
        <w:tc>
          <w:tcPr>
            <w:tcW w:w="10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B1EB" w14:textId="77777777" w:rsidR="00DC1A6E" w:rsidRPr="00DC1A6E" w:rsidRDefault="00DC1A6E" w:rsidP="00DC1A6E">
            <w:pPr>
              <w:spacing w:after="240" w:line="240" w:lineRule="auto"/>
              <w:rPr>
                <w:rFonts w:eastAsia="Times New Roman" w:cs="Calibri"/>
                <w:color w:val="000000"/>
                <w:kern w:val="0"/>
                <w14:ligatures w14:val="none"/>
              </w:rPr>
            </w:pPr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Form 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Evaluasi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>Pemasok</w:t>
            </w:r>
            <w:proofErr w:type="spellEnd"/>
            <w:r w:rsidRPr="00DC1A6E">
              <w:rPr>
                <w:rFonts w:eastAsia="Times New Roman" w:cs="Calibri"/>
                <w:b/>
                <w:bCs/>
                <w:color w:val="000000"/>
                <w:kern w:val="0"/>
                <w14:ligatures w14:val="none"/>
              </w:rPr>
              <w:t xml:space="preserve"> (PCH.P.2)</w:t>
            </w:r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br/>
              <w:t xml:space="preserve">Belum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dilakukan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penilaian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/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evaluasi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terhadap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pihak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yang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bekerja</w:t>
            </w:r>
            <w:proofErr w:type="spellEnd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1A6E">
              <w:rPr>
                <w:rFonts w:eastAsia="Times New Roman" w:cs="Calibri"/>
                <w:color w:val="000000"/>
                <w:kern w:val="0"/>
                <w14:ligatures w14:val="none"/>
              </w:rPr>
              <w:t>sama</w:t>
            </w:r>
            <w:proofErr w:type="spellEnd"/>
          </w:p>
        </w:tc>
      </w:tr>
    </w:tbl>
    <w:p w14:paraId="794FFEFD" w14:textId="77777777" w:rsidR="00DC1A6E" w:rsidRDefault="00DC1A6E" w:rsidP="00EC5917">
      <w:pPr>
        <w:spacing w:line="240" w:lineRule="auto"/>
        <w:ind w:left="-1166"/>
      </w:pPr>
    </w:p>
    <w:p w14:paraId="30F59EAC" w14:textId="77777777" w:rsidR="007255AB" w:rsidRDefault="007255AB" w:rsidP="00EC5917">
      <w:pPr>
        <w:spacing w:line="240" w:lineRule="auto"/>
        <w:ind w:left="-1166"/>
      </w:pPr>
    </w:p>
    <w:p w14:paraId="59C58DD4" w14:textId="77777777" w:rsidR="007255AB" w:rsidRDefault="007255AB" w:rsidP="00EC5917">
      <w:pPr>
        <w:spacing w:line="240" w:lineRule="auto"/>
        <w:ind w:left="-1166"/>
      </w:pPr>
    </w:p>
    <w:p w14:paraId="2187842E" w14:textId="77777777" w:rsidR="007255AB" w:rsidRDefault="007255AB" w:rsidP="00EC5917">
      <w:pPr>
        <w:spacing w:line="240" w:lineRule="auto"/>
        <w:ind w:left="-1166"/>
      </w:pPr>
    </w:p>
    <w:p w14:paraId="08118766" w14:textId="77777777" w:rsidR="00EE3CC8" w:rsidRDefault="00EE3CC8" w:rsidP="00EC5917">
      <w:pPr>
        <w:spacing w:line="240" w:lineRule="auto"/>
        <w:ind w:left="-1166"/>
      </w:pPr>
    </w:p>
    <w:tbl>
      <w:tblPr>
        <w:tblStyle w:val="TableGrid"/>
        <w:tblW w:w="11785" w:type="dxa"/>
        <w:jc w:val="center"/>
        <w:tblLook w:val="04A0" w:firstRow="1" w:lastRow="0" w:firstColumn="1" w:lastColumn="0" w:noHBand="0" w:noVBand="1"/>
      </w:tblPr>
      <w:tblGrid>
        <w:gridCol w:w="11785"/>
      </w:tblGrid>
      <w:tr w:rsidR="009A57AF" w14:paraId="0C70ED29" w14:textId="77777777" w:rsidTr="007F38A8">
        <w:trPr>
          <w:trHeight w:val="701"/>
          <w:jc w:val="center"/>
        </w:trPr>
        <w:tc>
          <w:tcPr>
            <w:tcW w:w="11785" w:type="dxa"/>
            <w:vAlign w:val="center"/>
          </w:tcPr>
          <w:p w14:paraId="46D24A15" w14:textId="5318A3B1" w:rsidR="009A57AF" w:rsidRPr="00405DD4" w:rsidRDefault="009A57AF" w:rsidP="009A57AF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lastRenderedPageBreak/>
              <w:t>MASUKAN MANAJEMEN</w:t>
            </w:r>
          </w:p>
        </w:tc>
      </w:tr>
    </w:tbl>
    <w:p w14:paraId="4FF895D2" w14:textId="2113435E" w:rsidR="009A57AF" w:rsidRDefault="009A57AF" w:rsidP="00EC5917">
      <w:pPr>
        <w:spacing w:line="240" w:lineRule="auto"/>
        <w:ind w:left="-1166"/>
      </w:pPr>
    </w:p>
    <w:p w14:paraId="5A8F117F" w14:textId="3E0E0F40" w:rsidR="004C2B01" w:rsidRDefault="00EE3CC8" w:rsidP="006B5FF8">
      <w:pPr>
        <w:pStyle w:val="ListParagraph"/>
        <w:numPr>
          <w:ilvl w:val="0"/>
          <w:numId w:val="7"/>
        </w:numPr>
        <w:spacing w:line="240" w:lineRule="auto"/>
        <w:ind w:left="-540" w:right="-108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survey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Nursing Bed, variable </w:t>
      </w:r>
      <w:proofErr w:type="spellStart"/>
      <w:r>
        <w:t>terendah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survey pada variable Price &amp; Promotion, Dept Nursing Bed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analisa</w:t>
      </w:r>
      <w:proofErr w:type="spellEnd"/>
      <w:r>
        <w:t xml:space="preserve"> dan planning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variable Price &amp; Promotion;</w:t>
      </w:r>
    </w:p>
    <w:p w14:paraId="0B60C13C" w14:textId="40AC7205" w:rsidR="00EE3CC8" w:rsidRDefault="00EE3CC8" w:rsidP="006B5FF8">
      <w:pPr>
        <w:pStyle w:val="ListParagraph"/>
        <w:numPr>
          <w:ilvl w:val="0"/>
          <w:numId w:val="7"/>
        </w:numPr>
        <w:spacing w:line="240" w:lineRule="auto"/>
        <w:ind w:left="-540" w:right="-1080"/>
        <w:jc w:val="both"/>
      </w:pPr>
      <w:r>
        <w:t xml:space="preserve">Dept Nursing Bed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isu</w:t>
      </w:r>
      <w:proofErr w:type="spellEnd"/>
      <w:r>
        <w:t xml:space="preserve"> internal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CPAKB dan CDAKB;</w:t>
      </w:r>
    </w:p>
    <w:p w14:paraId="190019D8" w14:textId="11EAA011" w:rsidR="00EE3CC8" w:rsidRDefault="002E272D" w:rsidP="006B5FF8">
      <w:pPr>
        <w:pStyle w:val="ListParagraph"/>
        <w:numPr>
          <w:ilvl w:val="0"/>
          <w:numId w:val="7"/>
        </w:numPr>
        <w:spacing w:line="240" w:lineRule="auto"/>
        <w:ind w:left="-540" w:right="-1080"/>
        <w:jc w:val="both"/>
      </w:pPr>
      <w:r>
        <w:t xml:space="preserve">Customer Complain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pembeda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penyebab</w:t>
      </w:r>
      <w:proofErr w:type="spellEnd"/>
      <w:r>
        <w:t xml:space="preserve"> Internal &amp; </w:t>
      </w:r>
      <w:proofErr w:type="spellStart"/>
      <w:r>
        <w:t>Eksternal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 </w:t>
      </w:r>
      <w:proofErr w:type="spellStart"/>
      <w:r>
        <w:t>menerapkan</w:t>
      </w:r>
      <w:proofErr w:type="spellEnd"/>
      <w:proofErr w:type="gramEnd"/>
      <w:r>
        <w:t xml:space="preserve"> CDAKB,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menulusuri</w:t>
      </w:r>
      <w:proofErr w:type="spellEnd"/>
      <w:r>
        <w:t xml:space="preserve"> </w:t>
      </w:r>
      <w:proofErr w:type="spellStart"/>
      <w:r>
        <w:t>penyebab-penyebab</w:t>
      </w:r>
      <w:proofErr w:type="spellEnd"/>
      <w:r>
        <w:t xml:space="preserve"> </w:t>
      </w:r>
      <w:proofErr w:type="spellStart"/>
      <w:r>
        <w:t>cacat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>;</w:t>
      </w:r>
    </w:p>
    <w:p w14:paraId="437F7E82" w14:textId="237F817F" w:rsidR="002E272D" w:rsidRDefault="002E272D" w:rsidP="006B5FF8">
      <w:pPr>
        <w:pStyle w:val="ListParagraph"/>
        <w:numPr>
          <w:ilvl w:val="0"/>
          <w:numId w:val="7"/>
        </w:numPr>
        <w:spacing w:line="240" w:lineRule="auto"/>
        <w:ind w:left="-540" w:right="-1080"/>
        <w:jc w:val="both"/>
      </w:pPr>
      <w:r>
        <w:t xml:space="preserve">Dept CMS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mengevaluasi</w:t>
      </w:r>
      <w:proofErr w:type="spellEnd"/>
      <w:r>
        <w:t xml:space="preserve"> </w:t>
      </w:r>
      <w:proofErr w:type="spellStart"/>
      <w:r>
        <w:t>ulang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SOP-SOP yang </w:t>
      </w:r>
      <w:proofErr w:type="spellStart"/>
      <w:r>
        <w:t>ada</w:t>
      </w:r>
      <w:proofErr w:type="spellEnd"/>
      <w:r>
        <w:t xml:space="preserve"> di </w:t>
      </w:r>
      <w:proofErr w:type="spellStart"/>
      <w:r>
        <w:t>tiap</w:t>
      </w:r>
      <w:proofErr w:type="spellEnd"/>
      <w:r>
        <w:t xml:space="preserve"> Dept, </w:t>
      </w:r>
      <w:proofErr w:type="spellStart"/>
      <w:r>
        <w:t>terutama</w:t>
      </w:r>
      <w:proofErr w:type="spellEnd"/>
      <w:r>
        <w:t xml:space="preserve"> yang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temuan</w:t>
      </w:r>
      <w:proofErr w:type="spellEnd"/>
      <w:r>
        <w:t xml:space="preserve"> pada Audit CDAKB, dan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SOP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yang </w:t>
      </w:r>
      <w:proofErr w:type="spellStart"/>
      <w:r>
        <w:t>disyaratkan</w:t>
      </w:r>
      <w:proofErr w:type="spellEnd"/>
      <w:r>
        <w:t xml:space="preserve"> oleh CDAKB</w:t>
      </w:r>
      <w:r w:rsidR="007255AB">
        <w:t xml:space="preserve">. Jika </w:t>
      </w:r>
      <w:proofErr w:type="spellStart"/>
      <w:r w:rsidR="007255AB">
        <w:t>sudah</w:t>
      </w:r>
      <w:proofErr w:type="spellEnd"/>
      <w:r w:rsidR="007255AB">
        <w:t xml:space="preserve"> </w:t>
      </w:r>
      <w:proofErr w:type="spellStart"/>
      <w:r w:rsidR="007255AB">
        <w:t>terevaluasi</w:t>
      </w:r>
      <w:proofErr w:type="spellEnd"/>
      <w:r w:rsidR="007255AB">
        <w:t xml:space="preserve">, </w:t>
      </w:r>
      <w:proofErr w:type="spellStart"/>
      <w:r w:rsidR="007255AB">
        <w:t>maka</w:t>
      </w:r>
      <w:proofErr w:type="spellEnd"/>
      <w:r w:rsidR="007255AB">
        <w:t xml:space="preserve"> CMS </w:t>
      </w:r>
      <w:proofErr w:type="spellStart"/>
      <w:r w:rsidR="007255AB">
        <w:t>bisa</w:t>
      </w:r>
      <w:proofErr w:type="spellEnd"/>
      <w:r w:rsidR="007255AB">
        <w:t xml:space="preserve"> </w:t>
      </w:r>
      <w:proofErr w:type="spellStart"/>
      <w:r w:rsidR="007255AB">
        <w:t>melakukan</w:t>
      </w:r>
      <w:proofErr w:type="spellEnd"/>
      <w:r w:rsidR="007255AB">
        <w:t xml:space="preserve"> </w:t>
      </w:r>
      <w:proofErr w:type="spellStart"/>
      <w:r w:rsidR="007255AB">
        <w:t>sosialisasi</w:t>
      </w:r>
      <w:proofErr w:type="spellEnd"/>
      <w:r w:rsidR="007255AB">
        <w:t xml:space="preserve"> </w:t>
      </w:r>
      <w:proofErr w:type="spellStart"/>
      <w:r w:rsidR="007255AB">
        <w:t>ulang</w:t>
      </w:r>
      <w:proofErr w:type="spellEnd"/>
      <w:r w:rsidR="007255AB">
        <w:t xml:space="preserve"> </w:t>
      </w:r>
      <w:proofErr w:type="spellStart"/>
      <w:r w:rsidR="007255AB">
        <w:t>kepada</w:t>
      </w:r>
      <w:proofErr w:type="spellEnd"/>
      <w:r w:rsidR="007255AB">
        <w:t xml:space="preserve"> Dept yang </w:t>
      </w:r>
      <w:proofErr w:type="spellStart"/>
      <w:r w:rsidR="007255AB">
        <w:t>terdapat</w:t>
      </w:r>
      <w:proofErr w:type="spellEnd"/>
      <w:r w:rsidR="007255AB">
        <w:t xml:space="preserve"> </w:t>
      </w:r>
      <w:proofErr w:type="spellStart"/>
      <w:r w:rsidR="007255AB">
        <w:t>perubahan</w:t>
      </w:r>
      <w:proofErr w:type="spellEnd"/>
      <w:r w:rsidR="007255AB">
        <w:t xml:space="preserve"> yang </w:t>
      </w:r>
      <w:proofErr w:type="spellStart"/>
      <w:r w:rsidR="007255AB">
        <w:t>menyesuaikan</w:t>
      </w:r>
      <w:proofErr w:type="spellEnd"/>
      <w:r w:rsidR="007255AB">
        <w:t xml:space="preserve"> </w:t>
      </w:r>
      <w:proofErr w:type="spellStart"/>
      <w:r w:rsidR="007255AB">
        <w:t>dengan</w:t>
      </w:r>
      <w:proofErr w:type="spellEnd"/>
      <w:r w:rsidR="007255AB">
        <w:t xml:space="preserve"> </w:t>
      </w:r>
      <w:proofErr w:type="spellStart"/>
      <w:r w:rsidR="007255AB">
        <w:t>syarat</w:t>
      </w:r>
      <w:proofErr w:type="spellEnd"/>
      <w:r w:rsidR="007255AB">
        <w:t xml:space="preserve"> CDAKB</w:t>
      </w:r>
      <w:r>
        <w:t>;</w:t>
      </w:r>
    </w:p>
    <w:p w14:paraId="35FD8AB1" w14:textId="2003AB34" w:rsidR="002E272D" w:rsidRDefault="007255AB" w:rsidP="006B5FF8">
      <w:pPr>
        <w:pStyle w:val="ListParagraph"/>
        <w:numPr>
          <w:ilvl w:val="0"/>
          <w:numId w:val="7"/>
        </w:numPr>
        <w:spacing w:line="240" w:lineRule="auto"/>
        <w:ind w:left="-540" w:right="-1080"/>
        <w:jc w:val="both"/>
      </w:pPr>
      <w:r>
        <w:t xml:space="preserve">Internal Audit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sosialisasi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kekurangan-kekurangan</w:t>
      </w:r>
      <w:proofErr w:type="spellEnd"/>
      <w:r>
        <w:t xml:space="preserve"> yang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diperhatikan</w:t>
      </w:r>
      <w:proofErr w:type="spellEnd"/>
      <w:r>
        <w:t xml:space="preserve"> pada </w:t>
      </w:r>
      <w:proofErr w:type="spellStart"/>
      <w:r>
        <w:t>saat</w:t>
      </w:r>
      <w:proofErr w:type="spellEnd"/>
      <w:r>
        <w:t xml:space="preserve"> Audit dan </w:t>
      </w:r>
      <w:proofErr w:type="spellStart"/>
      <w:r>
        <w:t>pasca</w:t>
      </w:r>
      <w:proofErr w:type="spellEnd"/>
      <w:r>
        <w:t xml:space="preserve"> Audit;</w:t>
      </w:r>
    </w:p>
    <w:p w14:paraId="12F2F994" w14:textId="3F0D299A" w:rsidR="007255AB" w:rsidRDefault="007255AB" w:rsidP="006B5FF8">
      <w:pPr>
        <w:pStyle w:val="ListParagraph"/>
        <w:numPr>
          <w:ilvl w:val="0"/>
          <w:numId w:val="7"/>
        </w:numPr>
        <w:spacing w:line="240" w:lineRule="auto"/>
        <w:ind w:left="-540" w:right="-1080"/>
        <w:jc w:val="both"/>
      </w:pPr>
      <w:r>
        <w:t xml:space="preserve">Pada </w:t>
      </w:r>
      <w:proofErr w:type="spellStart"/>
      <w:r>
        <w:t>Sumber</w:t>
      </w:r>
      <w:proofErr w:type="spellEnd"/>
      <w:r>
        <w:t xml:space="preserve"> Daya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t>walaupun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dikatakan</w:t>
      </w:r>
      <w:proofErr w:type="spellEnd"/>
      <w:r>
        <w:t xml:space="preserve"> </w:t>
      </w:r>
      <w:proofErr w:type="spellStart"/>
      <w:r>
        <w:t>terpenuhi</w:t>
      </w:r>
      <w:proofErr w:type="spellEnd"/>
      <w:r>
        <w:t xml:space="preserve"> </w:t>
      </w:r>
      <w:proofErr w:type="spellStart"/>
      <w:r>
        <w:t>persyaratannya</w:t>
      </w:r>
      <w:proofErr w:type="spellEnd"/>
      <w:r w:rsidR="00F37203">
        <w:t xml:space="preserve"> (</w:t>
      </w:r>
      <w:proofErr w:type="spellStart"/>
      <w:r w:rsidR="00F37203">
        <w:t>terdapat</w:t>
      </w:r>
      <w:proofErr w:type="spellEnd"/>
      <w:r w:rsidR="00F37203">
        <w:t xml:space="preserve"> PJT CPAKB &amp; CDAKB), HCGA </w:t>
      </w:r>
      <w:proofErr w:type="spellStart"/>
      <w:r w:rsidR="00F37203">
        <w:t>harus</w:t>
      </w:r>
      <w:proofErr w:type="spellEnd"/>
      <w:r w:rsidR="00F37203">
        <w:t xml:space="preserve"> </w:t>
      </w:r>
      <w:proofErr w:type="spellStart"/>
      <w:r w:rsidR="00F37203">
        <w:t>tetap</w:t>
      </w:r>
      <w:proofErr w:type="spellEnd"/>
      <w:r w:rsidR="00F37203">
        <w:t xml:space="preserve"> update </w:t>
      </w:r>
      <w:proofErr w:type="spellStart"/>
      <w:r w:rsidR="00F37203">
        <w:t>dengan</w:t>
      </w:r>
      <w:proofErr w:type="spellEnd"/>
      <w:r w:rsidR="00F37203">
        <w:t xml:space="preserve"> dept Nursing Bed </w:t>
      </w:r>
      <w:proofErr w:type="spellStart"/>
      <w:r w:rsidR="00F37203">
        <w:t>atau</w:t>
      </w:r>
      <w:proofErr w:type="spellEnd"/>
      <w:r w:rsidR="00F37203">
        <w:t xml:space="preserve"> PJT agar </w:t>
      </w:r>
      <w:proofErr w:type="spellStart"/>
      <w:r w:rsidR="00F37203">
        <w:t>kedepan</w:t>
      </w:r>
      <w:proofErr w:type="spellEnd"/>
      <w:r w:rsidR="00F37203">
        <w:t xml:space="preserve"> </w:t>
      </w:r>
      <w:proofErr w:type="spellStart"/>
      <w:r w:rsidR="00F37203">
        <w:t>jika</w:t>
      </w:r>
      <w:proofErr w:type="spellEnd"/>
      <w:r w:rsidR="00F37203">
        <w:t xml:space="preserve"> </w:t>
      </w:r>
      <w:proofErr w:type="spellStart"/>
      <w:r w:rsidR="00F37203">
        <w:t>terdapat</w:t>
      </w:r>
      <w:proofErr w:type="spellEnd"/>
      <w:r w:rsidR="00F37203">
        <w:t xml:space="preserve"> </w:t>
      </w:r>
      <w:proofErr w:type="spellStart"/>
      <w:r w:rsidR="00F37203">
        <w:t>persyaratan</w:t>
      </w:r>
      <w:proofErr w:type="spellEnd"/>
      <w:r w:rsidR="00F37203">
        <w:t xml:space="preserve"> yang </w:t>
      </w:r>
      <w:proofErr w:type="spellStart"/>
      <w:r w:rsidR="00F37203">
        <w:t>baru</w:t>
      </w:r>
      <w:proofErr w:type="spellEnd"/>
      <w:r w:rsidR="00F37203">
        <w:t xml:space="preserve">, HCGA </w:t>
      </w:r>
      <w:proofErr w:type="spellStart"/>
      <w:r w:rsidR="00F37203">
        <w:t>bisa</w:t>
      </w:r>
      <w:proofErr w:type="spellEnd"/>
      <w:r w:rsidR="00F37203">
        <w:t xml:space="preserve"> </w:t>
      </w:r>
      <w:proofErr w:type="spellStart"/>
      <w:r w:rsidR="00F37203">
        <w:t>tanggap</w:t>
      </w:r>
      <w:proofErr w:type="spellEnd"/>
      <w:r w:rsidR="00F37203">
        <w:t xml:space="preserve"> </w:t>
      </w:r>
      <w:proofErr w:type="spellStart"/>
      <w:r w:rsidR="00F37203">
        <w:t>dalam</w:t>
      </w:r>
      <w:proofErr w:type="spellEnd"/>
      <w:r w:rsidR="00F37203">
        <w:t xml:space="preserve"> </w:t>
      </w:r>
      <w:proofErr w:type="spellStart"/>
      <w:r w:rsidR="00F37203">
        <w:t>pelaksanaan</w:t>
      </w:r>
      <w:proofErr w:type="spellEnd"/>
      <w:r w:rsidR="00F37203">
        <w:t xml:space="preserve"> </w:t>
      </w:r>
      <w:proofErr w:type="spellStart"/>
      <w:r w:rsidR="00F37203">
        <w:t>penyediaan</w:t>
      </w:r>
      <w:proofErr w:type="spellEnd"/>
      <w:r w:rsidR="00F37203">
        <w:t xml:space="preserve"> </w:t>
      </w:r>
      <w:proofErr w:type="spellStart"/>
      <w:r w:rsidR="00F37203">
        <w:t>sumber</w:t>
      </w:r>
      <w:proofErr w:type="spellEnd"/>
      <w:r w:rsidR="00F37203">
        <w:t xml:space="preserve"> </w:t>
      </w:r>
      <w:proofErr w:type="spellStart"/>
      <w:r w:rsidR="00F37203">
        <w:t>daya</w:t>
      </w:r>
      <w:proofErr w:type="spellEnd"/>
      <w:r w:rsidR="00F37203">
        <w:t xml:space="preserve"> </w:t>
      </w:r>
      <w:proofErr w:type="spellStart"/>
      <w:r w:rsidR="00F37203">
        <w:t>manusianya</w:t>
      </w:r>
      <w:proofErr w:type="spellEnd"/>
      <w:r w:rsidR="00F37203">
        <w:t>.</w:t>
      </w:r>
    </w:p>
    <w:p w14:paraId="5D4086E3" w14:textId="05884194" w:rsidR="009A57AF" w:rsidRDefault="009A57AF" w:rsidP="00EC5917">
      <w:pPr>
        <w:spacing w:line="240" w:lineRule="auto"/>
        <w:ind w:left="-1166"/>
      </w:pPr>
    </w:p>
    <w:p w14:paraId="055F450F" w14:textId="27C448C5" w:rsidR="00F37203" w:rsidRDefault="00F37203" w:rsidP="00EC5917">
      <w:pPr>
        <w:spacing w:line="240" w:lineRule="auto"/>
        <w:ind w:left="-1166"/>
      </w:pPr>
    </w:p>
    <w:p w14:paraId="2F9354EB" w14:textId="5B01B3D7" w:rsidR="00F37203" w:rsidRDefault="00F37203" w:rsidP="00EC5917">
      <w:pPr>
        <w:spacing w:line="240" w:lineRule="auto"/>
        <w:ind w:left="-1166"/>
      </w:pPr>
      <w:proofErr w:type="spellStart"/>
      <w:r>
        <w:t>Cimahi</w:t>
      </w:r>
      <w:proofErr w:type="spellEnd"/>
      <w:r>
        <w:t xml:space="preserve">, 16 </w:t>
      </w:r>
      <w:proofErr w:type="spellStart"/>
      <w:r>
        <w:t>Juni</w:t>
      </w:r>
      <w:proofErr w:type="spellEnd"/>
      <w:r>
        <w:t xml:space="preserve"> 2025</w:t>
      </w:r>
    </w:p>
    <w:p w14:paraId="23F7DC6F" w14:textId="415DB753" w:rsidR="00F37203" w:rsidRDefault="00F37203" w:rsidP="00EC5917">
      <w:pPr>
        <w:spacing w:line="240" w:lineRule="auto"/>
        <w:ind w:left="-1166"/>
      </w:pPr>
      <w:proofErr w:type="spellStart"/>
      <w:r>
        <w:t>Disusun</w:t>
      </w:r>
      <w:proofErr w:type="spellEnd"/>
      <w:r>
        <w:t xml:space="preserve"> oleh</w:t>
      </w:r>
    </w:p>
    <w:p w14:paraId="12B75E92" w14:textId="434ED241" w:rsidR="00F37203" w:rsidRDefault="00F37203" w:rsidP="00EC5917">
      <w:pPr>
        <w:spacing w:line="240" w:lineRule="auto"/>
        <w:ind w:left="-1166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AD6660" wp14:editId="3DBAF874">
            <wp:simplePos x="0" y="0"/>
            <wp:positionH relativeFrom="column">
              <wp:posOffset>-809625</wp:posOffset>
            </wp:positionH>
            <wp:positionV relativeFrom="paragraph">
              <wp:posOffset>271780</wp:posOffset>
            </wp:positionV>
            <wp:extent cx="1524000" cy="85725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774695" w14:textId="1A82CE19" w:rsidR="00F37203" w:rsidRDefault="00F37203" w:rsidP="00EC5917">
      <w:pPr>
        <w:spacing w:line="240" w:lineRule="auto"/>
        <w:ind w:left="-1166"/>
      </w:pPr>
    </w:p>
    <w:p w14:paraId="0507A26F" w14:textId="34A6A82A" w:rsidR="00F37203" w:rsidRDefault="00F37203" w:rsidP="00F37203">
      <w:pPr>
        <w:spacing w:line="240" w:lineRule="auto"/>
      </w:pPr>
    </w:p>
    <w:p w14:paraId="6797A318" w14:textId="2EE62F03" w:rsidR="009A57AF" w:rsidRDefault="00F37203" w:rsidP="00EC5917">
      <w:pPr>
        <w:spacing w:line="240" w:lineRule="auto"/>
        <w:ind w:left="-1166"/>
      </w:pPr>
      <w:r>
        <w:t xml:space="preserve">Reggi </w:t>
      </w:r>
      <w:proofErr w:type="spellStart"/>
      <w:r>
        <w:t>Raenaldi</w:t>
      </w:r>
      <w:proofErr w:type="spellEnd"/>
    </w:p>
    <w:sectPr w:rsidR="009A57AF" w:rsidSect="00EC5917">
      <w:headerReference w:type="default" r:id="rId8"/>
      <w:pgSz w:w="12240" w:h="15840"/>
      <w:pgMar w:top="19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3858E" w14:textId="77777777" w:rsidR="008557CE" w:rsidRDefault="008557CE" w:rsidP="00EC5917">
      <w:pPr>
        <w:spacing w:after="0" w:line="240" w:lineRule="auto"/>
      </w:pPr>
      <w:r>
        <w:separator/>
      </w:r>
    </w:p>
  </w:endnote>
  <w:endnote w:type="continuationSeparator" w:id="0">
    <w:p w14:paraId="70C3E418" w14:textId="77777777" w:rsidR="008557CE" w:rsidRDefault="008557CE" w:rsidP="00EC5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D674A" w14:textId="77777777" w:rsidR="008557CE" w:rsidRDefault="008557CE" w:rsidP="00EC5917">
      <w:pPr>
        <w:spacing w:after="0" w:line="240" w:lineRule="auto"/>
      </w:pPr>
      <w:r>
        <w:separator/>
      </w:r>
    </w:p>
  </w:footnote>
  <w:footnote w:type="continuationSeparator" w:id="0">
    <w:p w14:paraId="02FFC988" w14:textId="77777777" w:rsidR="008557CE" w:rsidRDefault="008557CE" w:rsidP="00EC5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760" w:type="dxa"/>
      <w:jc w:val="center"/>
      <w:tblLook w:val="04A0" w:firstRow="1" w:lastRow="0" w:firstColumn="1" w:lastColumn="0" w:noHBand="0" w:noVBand="1"/>
    </w:tblPr>
    <w:tblGrid>
      <w:gridCol w:w="3030"/>
      <w:gridCol w:w="8730"/>
    </w:tblGrid>
    <w:tr w:rsidR="00EC5917" w14:paraId="3704750B" w14:textId="77777777" w:rsidTr="00EC5917">
      <w:trPr>
        <w:trHeight w:val="1250"/>
        <w:jc w:val="center"/>
      </w:trPr>
      <w:tc>
        <w:tcPr>
          <w:tcW w:w="3030" w:type="dxa"/>
        </w:tcPr>
        <w:p w14:paraId="7AB4EC6F" w14:textId="6F9C179F" w:rsidR="00EC5917" w:rsidRDefault="00EC5917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91EFFB4" wp14:editId="6B5EACC3">
                <wp:simplePos x="0" y="0"/>
                <wp:positionH relativeFrom="column">
                  <wp:posOffset>45720</wp:posOffset>
                </wp:positionH>
                <wp:positionV relativeFrom="paragraph">
                  <wp:posOffset>-133350</wp:posOffset>
                </wp:positionV>
                <wp:extent cx="1676400" cy="1182077"/>
                <wp:effectExtent l="0" t="0" r="0" b="0"/>
                <wp:wrapNone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11820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730" w:type="dxa"/>
          <w:vAlign w:val="center"/>
        </w:tcPr>
        <w:p w14:paraId="64FD1BDA" w14:textId="77777777" w:rsidR="00EC5917" w:rsidRDefault="00EC5917" w:rsidP="00EC5917">
          <w:pPr>
            <w:pStyle w:val="Header"/>
            <w:rPr>
              <w:b/>
              <w:bCs/>
              <w:sz w:val="44"/>
              <w:szCs w:val="44"/>
            </w:rPr>
          </w:pPr>
          <w:r w:rsidRPr="00EC5917">
            <w:rPr>
              <w:b/>
              <w:bCs/>
              <w:sz w:val="44"/>
              <w:szCs w:val="44"/>
            </w:rPr>
            <w:t xml:space="preserve">PT Chitose </w:t>
          </w:r>
          <w:proofErr w:type="spellStart"/>
          <w:r w:rsidRPr="00EC5917">
            <w:rPr>
              <w:b/>
              <w:bCs/>
              <w:sz w:val="44"/>
              <w:szCs w:val="44"/>
            </w:rPr>
            <w:t>Internasional</w:t>
          </w:r>
          <w:proofErr w:type="spellEnd"/>
          <w:r w:rsidRPr="00EC5917">
            <w:rPr>
              <w:b/>
              <w:bCs/>
              <w:sz w:val="44"/>
              <w:szCs w:val="44"/>
            </w:rPr>
            <w:t xml:space="preserve"> </w:t>
          </w:r>
          <w:proofErr w:type="spellStart"/>
          <w:r w:rsidRPr="00EC5917">
            <w:rPr>
              <w:b/>
              <w:bCs/>
              <w:sz w:val="44"/>
              <w:szCs w:val="44"/>
            </w:rPr>
            <w:t>Tbk</w:t>
          </w:r>
          <w:proofErr w:type="spellEnd"/>
        </w:p>
        <w:p w14:paraId="271AC412" w14:textId="77777777" w:rsidR="00EC5917" w:rsidRDefault="00EC5917" w:rsidP="00EC5917">
          <w:pPr>
            <w:pStyle w:val="Header"/>
            <w:rPr>
              <w:rFonts w:asciiTheme="majorHAnsi" w:hAnsiTheme="majorHAnsi"/>
            </w:rPr>
          </w:pPr>
          <w:r w:rsidRPr="00EC5917">
            <w:rPr>
              <w:rFonts w:asciiTheme="majorHAnsi" w:hAnsiTheme="majorHAnsi"/>
            </w:rPr>
            <w:t xml:space="preserve">Jalan </w:t>
          </w:r>
          <w:proofErr w:type="spellStart"/>
          <w:r w:rsidRPr="00EC5917">
            <w:rPr>
              <w:rFonts w:asciiTheme="majorHAnsi" w:hAnsiTheme="majorHAnsi"/>
            </w:rPr>
            <w:t>Industri</w:t>
          </w:r>
          <w:proofErr w:type="spellEnd"/>
          <w:r w:rsidRPr="00EC5917">
            <w:rPr>
              <w:rFonts w:asciiTheme="majorHAnsi" w:hAnsiTheme="majorHAnsi"/>
            </w:rPr>
            <w:t xml:space="preserve"> III No.5, </w:t>
          </w:r>
          <w:proofErr w:type="spellStart"/>
          <w:r w:rsidRPr="00EC5917">
            <w:rPr>
              <w:rFonts w:asciiTheme="majorHAnsi" w:hAnsiTheme="majorHAnsi"/>
            </w:rPr>
            <w:t>Leuwigajah</w:t>
          </w:r>
          <w:proofErr w:type="spellEnd"/>
          <w:r w:rsidRPr="00EC5917">
            <w:rPr>
              <w:rFonts w:asciiTheme="majorHAnsi" w:hAnsiTheme="majorHAnsi"/>
            </w:rPr>
            <w:t xml:space="preserve"> </w:t>
          </w:r>
          <w:proofErr w:type="spellStart"/>
          <w:r w:rsidRPr="00EC5917">
            <w:rPr>
              <w:rFonts w:asciiTheme="majorHAnsi" w:hAnsiTheme="majorHAnsi"/>
            </w:rPr>
            <w:t>Cimahi</w:t>
          </w:r>
          <w:proofErr w:type="spellEnd"/>
          <w:r w:rsidRPr="00EC5917">
            <w:rPr>
              <w:rFonts w:asciiTheme="majorHAnsi" w:hAnsiTheme="majorHAnsi"/>
            </w:rPr>
            <w:t xml:space="preserve">, Utama, </w:t>
          </w:r>
          <w:proofErr w:type="spellStart"/>
          <w:r w:rsidRPr="00EC5917">
            <w:rPr>
              <w:rFonts w:asciiTheme="majorHAnsi" w:hAnsiTheme="majorHAnsi"/>
            </w:rPr>
            <w:t>Kec</w:t>
          </w:r>
          <w:proofErr w:type="spellEnd"/>
          <w:r w:rsidRPr="00EC5917">
            <w:rPr>
              <w:rFonts w:asciiTheme="majorHAnsi" w:hAnsiTheme="majorHAnsi"/>
            </w:rPr>
            <w:t xml:space="preserve">. </w:t>
          </w:r>
          <w:proofErr w:type="spellStart"/>
          <w:r w:rsidRPr="00EC5917">
            <w:rPr>
              <w:rFonts w:asciiTheme="majorHAnsi" w:hAnsiTheme="majorHAnsi"/>
            </w:rPr>
            <w:t>Cimahi</w:t>
          </w:r>
          <w:proofErr w:type="spellEnd"/>
          <w:r w:rsidRPr="00EC5917">
            <w:rPr>
              <w:rFonts w:asciiTheme="majorHAnsi" w:hAnsiTheme="majorHAnsi"/>
            </w:rPr>
            <w:t xml:space="preserve"> Sel.,</w:t>
          </w:r>
        </w:p>
        <w:p w14:paraId="09DF4A73" w14:textId="7AA856E7" w:rsidR="00EC5917" w:rsidRPr="00EC5917" w:rsidRDefault="00EC5917" w:rsidP="00EC5917">
          <w:pPr>
            <w:pStyle w:val="Header"/>
            <w:rPr>
              <w:rFonts w:asciiTheme="majorHAnsi" w:hAnsiTheme="majorHAnsi"/>
            </w:rPr>
          </w:pPr>
          <w:r w:rsidRPr="00EC5917">
            <w:rPr>
              <w:rFonts w:asciiTheme="majorHAnsi" w:hAnsiTheme="majorHAnsi"/>
            </w:rPr>
            <w:t xml:space="preserve">Kota Cimahi, </w:t>
          </w:r>
          <w:proofErr w:type="spellStart"/>
          <w:r w:rsidRPr="00EC5917">
            <w:rPr>
              <w:rFonts w:asciiTheme="majorHAnsi" w:hAnsiTheme="majorHAnsi"/>
            </w:rPr>
            <w:t>Jawa</w:t>
          </w:r>
          <w:proofErr w:type="spellEnd"/>
          <w:r w:rsidRPr="00EC5917">
            <w:rPr>
              <w:rFonts w:asciiTheme="majorHAnsi" w:hAnsiTheme="majorHAnsi"/>
            </w:rPr>
            <w:t xml:space="preserve"> Barat 40533</w:t>
          </w:r>
        </w:p>
      </w:tc>
    </w:tr>
  </w:tbl>
  <w:p w14:paraId="00E35E21" w14:textId="77777777" w:rsidR="00EC5917" w:rsidRDefault="00EC59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95A44"/>
    <w:multiLevelType w:val="multilevel"/>
    <w:tmpl w:val="1504A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C5905EE"/>
    <w:multiLevelType w:val="hybridMultilevel"/>
    <w:tmpl w:val="AFA2664E"/>
    <w:lvl w:ilvl="0" w:tplc="720C96A4">
      <w:start w:val="1"/>
      <w:numFmt w:val="decimal"/>
      <w:lvlText w:val="%1."/>
      <w:lvlJc w:val="left"/>
      <w:pPr>
        <w:ind w:left="-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86" w:hanging="360"/>
      </w:pPr>
    </w:lvl>
    <w:lvl w:ilvl="2" w:tplc="0409001B" w:tentative="1">
      <w:start w:val="1"/>
      <w:numFmt w:val="lowerRoman"/>
      <w:lvlText w:val="%3."/>
      <w:lvlJc w:val="right"/>
      <w:pPr>
        <w:ind w:left="634" w:hanging="180"/>
      </w:pPr>
    </w:lvl>
    <w:lvl w:ilvl="3" w:tplc="0409000F" w:tentative="1">
      <w:start w:val="1"/>
      <w:numFmt w:val="decimal"/>
      <w:lvlText w:val="%4."/>
      <w:lvlJc w:val="left"/>
      <w:pPr>
        <w:ind w:left="1354" w:hanging="360"/>
      </w:pPr>
    </w:lvl>
    <w:lvl w:ilvl="4" w:tplc="04090019" w:tentative="1">
      <w:start w:val="1"/>
      <w:numFmt w:val="lowerLetter"/>
      <w:lvlText w:val="%5."/>
      <w:lvlJc w:val="left"/>
      <w:pPr>
        <w:ind w:left="2074" w:hanging="360"/>
      </w:pPr>
    </w:lvl>
    <w:lvl w:ilvl="5" w:tplc="0409001B" w:tentative="1">
      <w:start w:val="1"/>
      <w:numFmt w:val="lowerRoman"/>
      <w:lvlText w:val="%6."/>
      <w:lvlJc w:val="right"/>
      <w:pPr>
        <w:ind w:left="2794" w:hanging="180"/>
      </w:pPr>
    </w:lvl>
    <w:lvl w:ilvl="6" w:tplc="0409000F" w:tentative="1">
      <w:start w:val="1"/>
      <w:numFmt w:val="decimal"/>
      <w:lvlText w:val="%7."/>
      <w:lvlJc w:val="left"/>
      <w:pPr>
        <w:ind w:left="3514" w:hanging="360"/>
      </w:pPr>
    </w:lvl>
    <w:lvl w:ilvl="7" w:tplc="04090019" w:tentative="1">
      <w:start w:val="1"/>
      <w:numFmt w:val="lowerLetter"/>
      <w:lvlText w:val="%8."/>
      <w:lvlJc w:val="left"/>
      <w:pPr>
        <w:ind w:left="4234" w:hanging="360"/>
      </w:pPr>
    </w:lvl>
    <w:lvl w:ilvl="8" w:tplc="0409001B" w:tentative="1">
      <w:start w:val="1"/>
      <w:numFmt w:val="lowerRoman"/>
      <w:lvlText w:val="%9."/>
      <w:lvlJc w:val="right"/>
      <w:pPr>
        <w:ind w:left="4954" w:hanging="180"/>
      </w:pPr>
    </w:lvl>
  </w:abstractNum>
  <w:abstractNum w:abstractNumId="2" w15:restartNumberingAfterBreak="0">
    <w:nsid w:val="3FD219D5"/>
    <w:multiLevelType w:val="multilevel"/>
    <w:tmpl w:val="1504A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1040155"/>
    <w:multiLevelType w:val="hybridMultilevel"/>
    <w:tmpl w:val="C91E3030"/>
    <w:lvl w:ilvl="0" w:tplc="777A184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C54C7"/>
    <w:multiLevelType w:val="hybridMultilevel"/>
    <w:tmpl w:val="6CE86918"/>
    <w:lvl w:ilvl="0" w:tplc="871A6190">
      <w:start w:val="1"/>
      <w:numFmt w:val="decimal"/>
      <w:lvlText w:val="%1."/>
      <w:lvlJc w:val="left"/>
      <w:pPr>
        <w:ind w:left="-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86" w:hanging="360"/>
      </w:pPr>
    </w:lvl>
    <w:lvl w:ilvl="2" w:tplc="0409001B" w:tentative="1">
      <w:start w:val="1"/>
      <w:numFmt w:val="lowerRoman"/>
      <w:lvlText w:val="%3."/>
      <w:lvlJc w:val="right"/>
      <w:pPr>
        <w:ind w:left="634" w:hanging="180"/>
      </w:pPr>
    </w:lvl>
    <w:lvl w:ilvl="3" w:tplc="0409000F" w:tentative="1">
      <w:start w:val="1"/>
      <w:numFmt w:val="decimal"/>
      <w:lvlText w:val="%4."/>
      <w:lvlJc w:val="left"/>
      <w:pPr>
        <w:ind w:left="1354" w:hanging="360"/>
      </w:pPr>
    </w:lvl>
    <w:lvl w:ilvl="4" w:tplc="04090019" w:tentative="1">
      <w:start w:val="1"/>
      <w:numFmt w:val="lowerLetter"/>
      <w:lvlText w:val="%5."/>
      <w:lvlJc w:val="left"/>
      <w:pPr>
        <w:ind w:left="2074" w:hanging="360"/>
      </w:pPr>
    </w:lvl>
    <w:lvl w:ilvl="5" w:tplc="0409001B" w:tentative="1">
      <w:start w:val="1"/>
      <w:numFmt w:val="lowerRoman"/>
      <w:lvlText w:val="%6."/>
      <w:lvlJc w:val="right"/>
      <w:pPr>
        <w:ind w:left="2794" w:hanging="180"/>
      </w:pPr>
    </w:lvl>
    <w:lvl w:ilvl="6" w:tplc="0409000F" w:tentative="1">
      <w:start w:val="1"/>
      <w:numFmt w:val="decimal"/>
      <w:lvlText w:val="%7."/>
      <w:lvlJc w:val="left"/>
      <w:pPr>
        <w:ind w:left="3514" w:hanging="360"/>
      </w:pPr>
    </w:lvl>
    <w:lvl w:ilvl="7" w:tplc="04090019" w:tentative="1">
      <w:start w:val="1"/>
      <w:numFmt w:val="lowerLetter"/>
      <w:lvlText w:val="%8."/>
      <w:lvlJc w:val="left"/>
      <w:pPr>
        <w:ind w:left="4234" w:hanging="360"/>
      </w:pPr>
    </w:lvl>
    <w:lvl w:ilvl="8" w:tplc="0409001B" w:tentative="1">
      <w:start w:val="1"/>
      <w:numFmt w:val="lowerRoman"/>
      <w:lvlText w:val="%9."/>
      <w:lvlJc w:val="right"/>
      <w:pPr>
        <w:ind w:left="4954" w:hanging="180"/>
      </w:pPr>
    </w:lvl>
  </w:abstractNum>
  <w:abstractNum w:abstractNumId="5" w15:restartNumberingAfterBreak="0">
    <w:nsid w:val="59E20AE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B225A8"/>
    <w:multiLevelType w:val="hybridMultilevel"/>
    <w:tmpl w:val="1870E4BA"/>
    <w:lvl w:ilvl="0" w:tplc="CA76C0BA">
      <w:start w:val="1"/>
      <w:numFmt w:val="upperLetter"/>
      <w:lvlText w:val="%1."/>
      <w:lvlJc w:val="left"/>
      <w:pPr>
        <w:ind w:left="7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3" w:hanging="360"/>
      </w:pPr>
    </w:lvl>
    <w:lvl w:ilvl="2" w:tplc="0409001B" w:tentative="1">
      <w:start w:val="1"/>
      <w:numFmt w:val="lowerRoman"/>
      <w:lvlText w:val="%3."/>
      <w:lvlJc w:val="right"/>
      <w:pPr>
        <w:ind w:left="2233" w:hanging="180"/>
      </w:pPr>
    </w:lvl>
    <w:lvl w:ilvl="3" w:tplc="0409000F" w:tentative="1">
      <w:start w:val="1"/>
      <w:numFmt w:val="decimal"/>
      <w:lvlText w:val="%4."/>
      <w:lvlJc w:val="left"/>
      <w:pPr>
        <w:ind w:left="2953" w:hanging="360"/>
      </w:pPr>
    </w:lvl>
    <w:lvl w:ilvl="4" w:tplc="04090019" w:tentative="1">
      <w:start w:val="1"/>
      <w:numFmt w:val="lowerLetter"/>
      <w:lvlText w:val="%5."/>
      <w:lvlJc w:val="left"/>
      <w:pPr>
        <w:ind w:left="3673" w:hanging="360"/>
      </w:pPr>
    </w:lvl>
    <w:lvl w:ilvl="5" w:tplc="0409001B" w:tentative="1">
      <w:start w:val="1"/>
      <w:numFmt w:val="lowerRoman"/>
      <w:lvlText w:val="%6."/>
      <w:lvlJc w:val="right"/>
      <w:pPr>
        <w:ind w:left="4393" w:hanging="180"/>
      </w:pPr>
    </w:lvl>
    <w:lvl w:ilvl="6" w:tplc="0409000F" w:tentative="1">
      <w:start w:val="1"/>
      <w:numFmt w:val="decimal"/>
      <w:lvlText w:val="%7."/>
      <w:lvlJc w:val="left"/>
      <w:pPr>
        <w:ind w:left="5113" w:hanging="360"/>
      </w:pPr>
    </w:lvl>
    <w:lvl w:ilvl="7" w:tplc="04090019" w:tentative="1">
      <w:start w:val="1"/>
      <w:numFmt w:val="lowerLetter"/>
      <w:lvlText w:val="%8."/>
      <w:lvlJc w:val="left"/>
      <w:pPr>
        <w:ind w:left="5833" w:hanging="360"/>
      </w:pPr>
    </w:lvl>
    <w:lvl w:ilvl="8" w:tplc="0409001B" w:tentative="1">
      <w:start w:val="1"/>
      <w:numFmt w:val="lowerRoman"/>
      <w:lvlText w:val="%9."/>
      <w:lvlJc w:val="right"/>
      <w:pPr>
        <w:ind w:left="6553" w:hanging="180"/>
      </w:pPr>
    </w:lvl>
  </w:abstractNum>
  <w:num w:numId="1" w16cid:durableId="1738242929">
    <w:abstractNumId w:val="0"/>
  </w:num>
  <w:num w:numId="2" w16cid:durableId="480079290">
    <w:abstractNumId w:val="4"/>
  </w:num>
  <w:num w:numId="3" w16cid:durableId="2089695634">
    <w:abstractNumId w:val="2"/>
  </w:num>
  <w:num w:numId="4" w16cid:durableId="842089752">
    <w:abstractNumId w:val="5"/>
  </w:num>
  <w:num w:numId="5" w16cid:durableId="790245792">
    <w:abstractNumId w:val="3"/>
  </w:num>
  <w:num w:numId="6" w16cid:durableId="1289435795">
    <w:abstractNumId w:val="6"/>
  </w:num>
  <w:num w:numId="7" w16cid:durableId="50539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17"/>
    <w:rsid w:val="002C23AF"/>
    <w:rsid w:val="002E272D"/>
    <w:rsid w:val="00405DD4"/>
    <w:rsid w:val="004C2B01"/>
    <w:rsid w:val="006450F5"/>
    <w:rsid w:val="006B5FF8"/>
    <w:rsid w:val="006C0DF1"/>
    <w:rsid w:val="007255AB"/>
    <w:rsid w:val="008557CE"/>
    <w:rsid w:val="009A57AF"/>
    <w:rsid w:val="00DC1A6E"/>
    <w:rsid w:val="00E92E43"/>
    <w:rsid w:val="00EC0C21"/>
    <w:rsid w:val="00EC5917"/>
    <w:rsid w:val="00EE3CC8"/>
    <w:rsid w:val="00F37203"/>
    <w:rsid w:val="00F9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4AAC9"/>
  <w15:chartTrackingRefBased/>
  <w15:docId w15:val="{CA4174ED-DF28-44A4-902C-200F5FD0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DD4"/>
  </w:style>
  <w:style w:type="paragraph" w:styleId="Heading1">
    <w:name w:val="heading 1"/>
    <w:basedOn w:val="Normal"/>
    <w:next w:val="Normal"/>
    <w:link w:val="Heading1Char"/>
    <w:uiPriority w:val="9"/>
    <w:qFormat/>
    <w:rsid w:val="00EC5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9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9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9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9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9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9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9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9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9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9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9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5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5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917"/>
  </w:style>
  <w:style w:type="paragraph" w:styleId="Footer">
    <w:name w:val="footer"/>
    <w:basedOn w:val="Normal"/>
    <w:link w:val="FooterChar"/>
    <w:uiPriority w:val="99"/>
    <w:unhideWhenUsed/>
    <w:rsid w:val="00EC5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1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Reggi R.</dc:creator>
  <cp:keywords/>
  <dc:description/>
  <cp:lastModifiedBy>Reggi R.</cp:lastModifiedBy>
  <cp:revision>4</cp:revision>
  <cp:lastPrinted>2025-06-17T03:43:00Z</cp:lastPrinted>
  <dcterms:created xsi:type="dcterms:W3CDTF">2025-06-17T01:42:00Z</dcterms:created>
  <dcterms:modified xsi:type="dcterms:W3CDTF">2025-06-17T03:47:00Z</dcterms:modified>
</cp:coreProperties>
</file>